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684d1_8k.htm"/>
      <w:bookmarkStart w:id="1" w:name="kstm2625684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Permianville Royalty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742" w:type="dxa"/>
        <w:jc w:val="left"/>
        <w:tblInd w:w="0" w:type="dxa"/>
        <w:tblLayout w:type="fixed"/>
        <w:tblCellMar>
          <w:top w:w="0" w:type="dxa"/>
          <w:left w:w="0" w:type="dxa"/>
          <w:bottom w:w="0" w:type="dxa"/>
          <w:right w:w="0" w:type="dxa"/>
        </w:tblCellMar>
      </w:tblPr>
      <w:tblGrid>
        <w:gridCol w:w="3441"/>
        <w:gridCol w:w="86"/>
        <w:gridCol w:w="1594"/>
        <w:gridCol w:w="86"/>
        <w:gridCol w:w="1535"/>
      </w:tblGrid>
      <w:tr>
        <w:trPr/>
        <w:tc>
          <w:tcPr>
            <w:tcW w:w="3441" w:type="dxa"/>
            <w:tcBorders/>
            <w:vAlign w:val="center"/>
          </w:tcPr>
          <w:p>
            <w:pPr>
              <w:pStyle w:val="TableContents"/>
              <w:bidi w:val="0"/>
              <w:spacing w:before="0" w:after="283"/>
              <w:jc w:val="center"/>
              <w:rPr>
                <w:b/>
                <w:sz w:val="20"/>
              </w:rPr>
            </w:pPr>
            <w:r>
              <w:rPr>
                <w:b/>
                <w:sz w:val="20"/>
              </w:rPr>
              <w:t>Delaware</w:t>
            </w:r>
          </w:p>
        </w:tc>
        <w:tc>
          <w:tcPr>
            <w:tcW w:w="86"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center"/>
              <w:rPr>
                <w:b/>
                <w:sz w:val="20"/>
              </w:rPr>
            </w:pPr>
            <w:r>
              <w:rPr>
                <w:b/>
                <w:sz w:val="20"/>
              </w:rPr>
              <w:t>001-35333</w:t>
            </w:r>
          </w:p>
        </w:tc>
        <w:tc>
          <w:tcPr>
            <w:tcW w:w="86"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r>
              <w:rPr>
                <w:b/>
                <w:sz w:val="20"/>
              </w:rPr>
              <w:t>45-6259461</w:t>
            </w:r>
          </w:p>
        </w:tc>
      </w:tr>
      <w:tr>
        <w:trPr/>
        <w:tc>
          <w:tcPr>
            <w:tcW w:w="344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86"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86"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5207" w:type="dxa"/>
            <w:gridSpan w:val="4"/>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5207" w:type="dxa"/>
            <w:gridSpan w:val="4"/>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Bank of New York Mellon Trust Company, N.A., Trustee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Travis Street</w:t>
              <w:br/>
              <w:t>16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Houston, Texas </w:t>
            </w:r>
          </w:p>
        </w:tc>
        <w:tc>
          <w:tcPr>
            <w:tcW w:w="1535" w:type="dxa"/>
            <w:tcBorders/>
            <w:vAlign w:val="center"/>
          </w:tcPr>
          <w:p>
            <w:pPr>
              <w:pStyle w:val="TableContents"/>
              <w:bidi w:val="0"/>
              <w:spacing w:before="0" w:after="283"/>
              <w:jc w:val="center"/>
              <w:rPr>
                <w:b/>
                <w:sz w:val="20"/>
              </w:rPr>
            </w:pPr>
            <w:r>
              <w:rPr>
                <w:b/>
                <w:sz w:val="20"/>
              </w:rPr>
              <w:t>77002</w:t>
            </w:r>
          </w:p>
        </w:tc>
      </w:tr>
      <w:tr>
        <w:trPr/>
        <w:tc>
          <w:tcPr>
            <w:tcW w:w="5207" w:type="dxa"/>
            <w:gridSpan w:val="4"/>
            <w:tcBorders/>
            <w:vAlign w:val="center"/>
          </w:tcPr>
          <w:p>
            <w:pPr>
              <w:pStyle w:val="TableContents"/>
              <w:bidi w:val="0"/>
              <w:spacing w:before="0" w:after="283"/>
              <w:jc w:val="center"/>
              <w:rPr>
                <w:sz w:val="20"/>
              </w:rPr>
            </w:pPr>
            <w:r>
              <w:rPr>
                <w:sz w:val="20"/>
              </w:rPr>
              <w:t>(Address of principal executive offices)</w:t>
            </w:r>
          </w:p>
        </w:tc>
        <w:tc>
          <w:tcPr>
            <w:tcW w:w="1535"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 xml:space="preserve">(512) 236-6555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Pre-commencement communications pursuant to Rule 14d-2(b) under the Exchange Act (17 CFR 240.14d-(b))</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2570"/>
        <w:gridCol w:w="1520"/>
        <w:gridCol w:w="4235"/>
      </w:tblGrid>
      <w:tr>
        <w:trPr/>
        <w:tc>
          <w:tcPr>
            <w:tcW w:w="2570" w:type="dxa"/>
            <w:tcBorders/>
            <w:vAlign w:val="center"/>
          </w:tcPr>
          <w:p>
            <w:pPr>
              <w:pStyle w:val="TableContents"/>
              <w:bidi w:val="0"/>
              <w:spacing w:before="0" w:after="283"/>
              <w:jc w:val="center"/>
              <w:rPr>
                <w:u w:val="single"/>
              </w:rPr>
            </w:pPr>
            <w:r>
              <w:rPr>
                <w:u w:val="single"/>
              </w:rPr>
              <w:t>Title of each class</w:t>
            </w:r>
          </w:p>
        </w:tc>
        <w:tc>
          <w:tcPr>
            <w:tcW w:w="1520" w:type="dxa"/>
            <w:tcBorders/>
            <w:vAlign w:val="center"/>
          </w:tcPr>
          <w:p>
            <w:pPr>
              <w:pStyle w:val="TableContents"/>
              <w:bidi w:val="0"/>
              <w:spacing w:before="0" w:after="283"/>
              <w:jc w:val="center"/>
              <w:rPr>
                <w:u w:val="single"/>
              </w:rPr>
            </w:pPr>
            <w:r>
              <w:rPr>
                <w:u w:val="single"/>
              </w:rPr>
              <w:t>Trading symbol</w:t>
            </w:r>
          </w:p>
        </w:tc>
        <w:tc>
          <w:tcPr>
            <w:tcW w:w="4235" w:type="dxa"/>
            <w:tcBorders/>
            <w:vAlign w:val="center"/>
          </w:tcPr>
          <w:p>
            <w:pPr>
              <w:pStyle w:val="TableContents"/>
              <w:bidi w:val="0"/>
              <w:spacing w:before="0" w:after="283"/>
              <w:jc w:val="center"/>
              <w:rPr>
                <w:u w:val="single"/>
              </w:rPr>
            </w:pPr>
            <w:r>
              <w:rPr>
                <w:u w:val="single"/>
              </w:rPr>
              <w:t>Name of each exchange on which registered</w:t>
            </w:r>
          </w:p>
        </w:tc>
      </w:tr>
      <w:tr>
        <w:trPr/>
        <w:tc>
          <w:tcPr>
            <w:tcW w:w="2570" w:type="dxa"/>
            <w:tcBorders/>
            <w:vAlign w:val="center"/>
          </w:tcPr>
          <w:p>
            <w:pPr>
              <w:pStyle w:val="TableContents"/>
              <w:bidi w:val="0"/>
              <w:spacing w:before="0" w:after="283"/>
              <w:jc w:val="center"/>
              <w:rPr/>
            </w:pPr>
            <w:r>
              <w:rPr/>
              <w:t>Units of Beneficial Interest</w:t>
            </w:r>
          </w:p>
        </w:tc>
        <w:tc>
          <w:tcPr>
            <w:tcW w:w="1520" w:type="dxa"/>
            <w:tcBorders/>
            <w:vAlign w:val="center"/>
          </w:tcPr>
          <w:p>
            <w:pPr>
              <w:pStyle w:val="TableContents"/>
              <w:bidi w:val="0"/>
              <w:spacing w:before="0" w:after="283"/>
              <w:jc w:val="center"/>
              <w:rPr/>
            </w:pPr>
            <w:r>
              <w:rPr/>
              <w:t>PVL</w:t>
            </w:r>
          </w:p>
        </w:tc>
        <w:tc>
          <w:tcPr>
            <w:tcW w:w="4235" w:type="dxa"/>
            <w:tcBorders/>
            <w:vAlign w:val="center"/>
          </w:tcPr>
          <w:p>
            <w:pPr>
              <w:pStyle w:val="TableContents"/>
              <w:bidi w:val="0"/>
              <w:spacing w:before="0" w:after="283"/>
              <w:jc w:val="center"/>
              <w:rPr/>
            </w:pPr>
            <w:r>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980"/>
        <w:gridCol w:w="4805"/>
      </w:tblGrid>
      <w:tr>
        <w:trPr/>
        <w:tc>
          <w:tcPr>
            <w:tcW w:w="98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Permianville Royalty Trust (the “Trust”) issued a press release announcing the Trust’s distribution to be paid in October 2026. A copy of the press release is furnished as Exhibit 99.1 hereto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pStyle w:val="TextBody"/>
        <w:bidi w:val="0"/>
        <w:spacing w:before="0" w:after="0"/>
        <w:ind w:left="0" w:right="0" w:firstLine="72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72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1700"/>
        <w:gridCol w:w="6530"/>
      </w:tblGrid>
      <w:tr>
        <w:trPr/>
        <w:tc>
          <w:tcPr>
            <w:tcW w:w="1700" w:type="dxa"/>
            <w:tcBorders/>
            <w:vAlign w:val="center"/>
          </w:tcPr>
          <w:p>
            <w:pPr>
              <w:pStyle w:val="TableContents"/>
              <w:bidi w:val="0"/>
              <w:spacing w:before="0" w:after="283"/>
              <w:jc w:val="both"/>
              <w:rPr>
                <w:b/>
                <w:u w:val="single"/>
              </w:rPr>
            </w:pPr>
            <w:r>
              <w:rPr>
                <w:b/>
                <w:u w:val="single"/>
              </w:rPr>
              <w:t>Exhibit Number</w:t>
            </w:r>
          </w:p>
        </w:tc>
        <w:tc>
          <w:tcPr>
            <w:tcW w:w="6530" w:type="dxa"/>
            <w:tcBorders/>
            <w:vAlign w:val="center"/>
          </w:tcPr>
          <w:p>
            <w:pPr>
              <w:pStyle w:val="TableContents"/>
              <w:bidi w:val="0"/>
              <w:spacing w:before="0" w:after="283"/>
              <w:jc w:val="center"/>
              <w:rPr>
                <w:b/>
                <w:u w:val="single"/>
              </w:rPr>
            </w:pPr>
            <w:r>
              <w:rPr>
                <w:b/>
                <w:u w:val="single"/>
              </w:rPr>
              <w:t>Description</w:t>
            </w:r>
          </w:p>
        </w:tc>
      </w:tr>
      <w:tr>
        <w:trPr/>
        <w:tc>
          <w:tcPr>
            <w:tcW w:w="1700" w:type="dxa"/>
            <w:tcBorders/>
            <w:vAlign w:val="center"/>
          </w:tcPr>
          <w:p>
            <w:pPr>
              <w:pStyle w:val="TableContents"/>
              <w:bidi w:val="0"/>
              <w:spacing w:before="0" w:after="283"/>
              <w:jc w:val="center"/>
              <w:rPr/>
            </w:pPr>
            <w:hyperlink w:anchor="tm2625684d1_ex99-1.htm">
              <w:r>
                <w:rPr>
                  <w:rStyle w:val="InternetLink"/>
                </w:rPr>
                <w:t>99.1</w:t>
              </w:r>
            </w:hyperlink>
          </w:p>
        </w:tc>
        <w:tc>
          <w:tcPr>
            <w:tcW w:w="6530" w:type="dxa"/>
            <w:tcBorders/>
            <w:vAlign w:val="center"/>
          </w:tcPr>
          <w:p>
            <w:pPr>
              <w:pStyle w:val="TableContents"/>
              <w:bidi w:val="0"/>
              <w:spacing w:before="0" w:after="283"/>
              <w:jc w:val="left"/>
              <w:rPr/>
            </w:pPr>
            <w:hyperlink w:anchor="tm2625684d1_ex99-1.htm">
              <w:r>
                <w:rPr>
                  <w:rStyle w:val="InternetLink"/>
                </w:rPr>
                <w:t>Permianville Royalty Trust Press Release dated September 18,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7674" w:type="dxa"/>
        <w:jc w:val="left"/>
        <w:tblInd w:w="0" w:type="dxa"/>
        <w:tblLayout w:type="fixed"/>
        <w:tblCellMar>
          <w:top w:w="0" w:type="dxa"/>
          <w:left w:w="0" w:type="dxa"/>
          <w:bottom w:w="0" w:type="dxa"/>
          <w:right w:w="0" w:type="dxa"/>
        </w:tblCellMar>
      </w:tblPr>
      <w:tblGrid>
        <w:gridCol w:w="2135"/>
        <w:gridCol w:w="1066"/>
        <w:gridCol w:w="4473"/>
      </w:tblGrid>
      <w:tr>
        <w:trPr/>
        <w:tc>
          <w:tcPr>
            <w:tcW w:w="2135" w:type="dxa"/>
            <w:tcBorders/>
            <w:vAlign w:val="center"/>
          </w:tcPr>
          <w:p>
            <w:pPr>
              <w:pStyle w:val="TableContents"/>
              <w:bidi w:val="0"/>
              <w:spacing w:before="0" w:after="283"/>
              <w:jc w:val="left"/>
              <w:rPr/>
            </w:pPr>
            <w:r>
              <w:rPr/>
              <w:t> </w:t>
            </w:r>
          </w:p>
        </w:tc>
        <w:tc>
          <w:tcPr>
            <w:tcW w:w="55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w:t>
            </w:r>
          </w:p>
        </w:tc>
      </w:tr>
      <w:tr>
        <w:trPr/>
        <w:tc>
          <w:tcPr>
            <w:tcW w:w="2135" w:type="dxa"/>
            <w:tcBorders/>
            <w:vAlign w:val="center"/>
          </w:tcPr>
          <w:p>
            <w:pPr>
              <w:pStyle w:val="TableContents"/>
              <w:bidi w:val="0"/>
              <w:spacing w:before="0" w:after="283"/>
              <w:jc w:val="left"/>
              <w:rPr/>
            </w:pPr>
            <w:r>
              <w:rPr/>
              <w:t> </w:t>
            </w:r>
          </w:p>
        </w:tc>
        <w:tc>
          <w:tcPr>
            <w:tcW w:w="5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pPr>
            <w:r>
              <w:rPr/>
              <w:t> </w:t>
            </w:r>
          </w:p>
        </w:tc>
        <w:tc>
          <w:tcPr>
            <w:tcW w:w="5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Bank of New York Mellon Trust Company, N.A., as Trustee</w:t>
            </w:r>
          </w:p>
        </w:tc>
      </w:tr>
      <w:tr>
        <w:trPr/>
        <w:tc>
          <w:tcPr>
            <w:tcW w:w="2135" w:type="dxa"/>
            <w:tcBorders/>
            <w:vAlign w:val="center"/>
          </w:tcPr>
          <w:p>
            <w:pPr>
              <w:pStyle w:val="TableContents"/>
              <w:bidi w:val="0"/>
              <w:spacing w:before="0" w:after="283"/>
              <w:jc w:val="left"/>
              <w:rPr/>
            </w:pPr>
            <w:r>
              <w:rPr/>
              <w:t> </w:t>
            </w:r>
          </w:p>
        </w:tc>
        <w:tc>
          <w:tcPr>
            <w:tcW w:w="5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sz w:val="20"/>
              </w:rPr>
            </w:pPr>
            <w:r>
              <w:rPr>
                <w:sz w:val="20"/>
              </w:rPr>
              <w:t>Date: September 18, 2026</w:t>
            </w:r>
          </w:p>
        </w:tc>
        <w:tc>
          <w:tcPr>
            <w:tcW w:w="1066" w:type="dxa"/>
            <w:tcBorders/>
            <w:vAlign w:val="center"/>
          </w:tcPr>
          <w:p>
            <w:pPr>
              <w:pStyle w:val="TableContents"/>
              <w:bidi w:val="0"/>
              <w:spacing w:before="0" w:after="283"/>
              <w:jc w:val="left"/>
              <w:rPr>
                <w:sz w:val="20"/>
              </w:rPr>
            </w:pPr>
            <w:r>
              <w:rPr>
                <w:sz w:val="20"/>
              </w:rPr>
              <w:t>By:</w:t>
            </w:r>
          </w:p>
        </w:tc>
        <w:tc>
          <w:tcPr>
            <w:tcW w:w="447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Sarah Newell</w:t>
            </w:r>
          </w:p>
        </w:tc>
      </w:tr>
      <w:tr>
        <w:trPr/>
        <w:tc>
          <w:tcPr>
            <w:tcW w:w="213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caps w:val="false"/>
                <w:smallCaps w:val="false"/>
              </w:rPr>
            </w:pPr>
            <w:r>
              <w:rPr>
                <w:caps w:val="false"/>
                <w:smallCaps w:val="false"/>
              </w:rPr>
              <w:t> </w:t>
            </w:r>
          </w:p>
        </w:tc>
        <w:tc>
          <w:tcPr>
            <w:tcW w:w="4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Newell</w:t>
            </w:r>
          </w:p>
        </w:tc>
      </w:tr>
      <w:tr>
        <w:trPr/>
        <w:tc>
          <w:tcPr>
            <w:tcW w:w="213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caps w:val="false"/>
                <w:smallCaps w:val="false"/>
              </w:rPr>
            </w:pPr>
            <w:r>
              <w:rPr>
                <w:caps w:val="false"/>
                <w:smallCaps w:val="false"/>
              </w:rPr>
              <w:t> </w:t>
            </w:r>
          </w:p>
        </w:tc>
        <w:tc>
          <w:tcPr>
            <w:tcW w:w="4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625684d1_ex99-1.htm"/>
      <w:bookmarkStart w:id="3" w:name="kstm2625684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11350" cy="530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1350" cy="530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 Announces Monthly Cash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Texas—(BUSINESS WIRE)—September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(NYSE: PVL, the “Trust”) today announced a cash distribution to the holders of its units of beneficial interest of $0.016000 per unit, payable on October 14, 2026, to unitholders of record on September 30, 2026. The net profits interest calculation represents reported oil production for the month of June 2026 and reported natural gas production during May 2026. The calculation includes accrued costs incurred in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underlying oil and natural gas sales volumes and average received wellhead prices attributable to the current and prior month recorded net profits interest calculations.</w:t>
      </w:r>
    </w:p>
    <w:p>
      <w:pPr>
        <w:pStyle w:val="TextBody"/>
        <w:bidi w:val="0"/>
        <w:spacing w:before="0" w:after="0"/>
        <w:ind w:left="0" w:right="0" w:hanging="0"/>
        <w:jc w:val="left"/>
        <w:rPr>
          <w:caps w:val="false"/>
          <w:smallCaps w:val="false"/>
        </w:rPr>
      </w:pPr>
      <w:r>
        <w:rPr>
          <w:caps w:val="false"/>
          <w:smallCaps w:val="false"/>
        </w:rPr>
        <w:t> </w:t>
      </w:r>
    </w:p>
    <w:tbl>
      <w:tblPr>
        <w:tblW w:w="6452" w:type="dxa"/>
        <w:jc w:val="left"/>
        <w:tblInd w:w="0" w:type="dxa"/>
        <w:tblLayout w:type="fixed"/>
        <w:tblCellMar>
          <w:top w:w="0" w:type="dxa"/>
          <w:left w:w="0" w:type="dxa"/>
          <w:bottom w:w="0" w:type="dxa"/>
          <w:right w:w="0" w:type="dxa"/>
        </w:tblCellMar>
      </w:tblPr>
      <w:tblGrid>
        <w:gridCol w:w="1250"/>
        <w:gridCol w:w="60"/>
        <w:gridCol w:w="60"/>
        <w:gridCol w:w="590"/>
        <w:gridCol w:w="60"/>
        <w:gridCol w:w="60"/>
        <w:gridCol w:w="64"/>
        <w:gridCol w:w="525"/>
        <w:gridCol w:w="60"/>
        <w:gridCol w:w="60"/>
        <w:gridCol w:w="60"/>
        <w:gridCol w:w="695"/>
        <w:gridCol w:w="60"/>
        <w:gridCol w:w="60"/>
        <w:gridCol w:w="60"/>
        <w:gridCol w:w="590"/>
        <w:gridCol w:w="60"/>
        <w:gridCol w:w="60"/>
        <w:gridCol w:w="157"/>
        <w:gridCol w:w="612"/>
        <w:gridCol w:w="60"/>
        <w:gridCol w:w="60"/>
        <w:gridCol w:w="260"/>
        <w:gridCol w:w="794"/>
        <w:gridCol w:w="7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Sales Volumes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Bbl)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Mcf)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Month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554,438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Month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468,658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oil cash receipts from the oil and gas properties underlying the Trust (the “Underlying Properties”) totaled $3.9 million for the current month on realized wellhead prices of $92.96/Bbl, up $0.6 million from the prior month’s oil cash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natural gas cash receipts from the Underlying Properties totaled $1.2 million for the current month on realized wellhead prices of $2.21/Mcf, up $0.1 million from the prior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operating expenses increased $0.2 million from the prior month to $2.9 million, and capital expenditures increased $1.4 million from the prior month at $1.7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indicated to the Trustee that the recent uptick in oil prices has increased the potential for drilling by certain operators of the Underlying Properties. Given the increase in the current month’s reported capital spending, COERT Holdings 1 LLC (the “Sponsor”) has notified the Trustee that the Sponsor is releasing $0.3 million of the previously disclosed cash reserve of $2.0 million that it has established for approved, future development expenses on the Underlying Properties. The Sponsor will continue to hold the remaining cash reserve of $1.8 million to fund an expected increase in billed development expenses; however, if those expenses are ultimately delayed or are less than expected, or if the outlook changes, amounts reserved but unspent will be released as an incremental cash distribution in a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September 2026 the Sponsor closed on a partial sale of non-producing acreage for $0.3 million, free and clear of the Trust’s net profits interest. The sale also includes a future capital expenditure carry from the buyer . The sale proceeds attributable to the Trust’s net profits interest, net of customary sale and legal expenses, will be included in an upcoming monthly distribution to unitholders.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Permianville Royalty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 and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expectations regarding future development on the Underlying Properties and expected capital expenditures related to such future development.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2025, filed with the SEC on March 23, 2026. The Trust’s quarterly and other filed reports are or will be available over the Internet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Newell 1 (512) 236-6555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1534</Words>
  <Characters>8367</Characters>
  <CharactersWithSpaces>9922</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