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22d1_8k.htm"/>
      <w:bookmarkStart w:id="1" w:name="kstm262072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28" w:type="dxa"/>
        <w:jc w:val="left"/>
        <w:tblInd w:w="0" w:type="dxa"/>
        <w:tblLayout w:type="fixed"/>
        <w:tblCellMar>
          <w:top w:w="0" w:type="dxa"/>
          <w:left w:w="0" w:type="dxa"/>
          <w:bottom w:w="0" w:type="dxa"/>
          <w:right w:w="0" w:type="dxa"/>
        </w:tblCellMar>
      </w:tblPr>
      <w:tblGrid>
        <w:gridCol w:w="4276"/>
        <w:gridCol w:w="93"/>
        <w:gridCol w:w="2024"/>
        <w:gridCol w:w="60"/>
        <w:gridCol w:w="1775"/>
      </w:tblGrid>
      <w:tr>
        <w:trPr/>
        <w:tc>
          <w:tcPr>
            <w:tcW w:w="427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3" w:type="dxa"/>
            <w:tcBorders/>
            <w:vAlign w:val="center"/>
          </w:tcPr>
          <w:p>
            <w:pPr>
              <w:pStyle w:val="TableContents"/>
              <w:bidi w:val="0"/>
              <w:spacing w:before="0" w:after="283"/>
              <w:jc w:val="center"/>
              <w:rPr/>
            </w:pPr>
            <w:r>
              <w:rPr/>
              <w:t> </w:t>
            </w:r>
          </w:p>
        </w:tc>
        <w:tc>
          <w:tcPr>
            <w:tcW w:w="202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001-35333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4276" w:type="dxa"/>
            <w:tcBorders/>
            <w:vAlign w:val="center"/>
          </w:tcPr>
          <w:p>
            <w:pPr>
              <w:pStyle w:val="TableContents"/>
              <w:bidi w:val="0"/>
              <w:spacing w:before="0" w:after="283"/>
              <w:jc w:val="center"/>
              <w:rPr/>
            </w:pPr>
            <w:r>
              <w:rPr/>
              <w:t>(State or other jurisdiction of</w:t>
              <w:br/>
              <w:t>incorporation)</w:t>
            </w:r>
          </w:p>
        </w:tc>
        <w:tc>
          <w:tcPr>
            <w:tcW w:w="93" w:type="dxa"/>
            <w:tcBorders/>
            <w:vAlign w:val="center"/>
          </w:tcPr>
          <w:p>
            <w:pPr>
              <w:pStyle w:val="TableContents"/>
              <w:bidi w:val="0"/>
              <w:spacing w:before="0" w:after="283"/>
              <w:jc w:val="center"/>
              <w:rPr/>
            </w:pPr>
            <w:r>
              <w:rPr/>
              <w:t> </w:t>
            </w:r>
          </w:p>
        </w:tc>
        <w:tc>
          <w:tcPr>
            <w:tcW w:w="2024"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639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639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6393" w:type="dxa"/>
            <w:gridSpan w:val="3"/>
            <w:tcBorders/>
            <w:vAlign w:val="center"/>
          </w:tcPr>
          <w:p>
            <w:pPr>
              <w:pStyle w:val="TableContents"/>
              <w:bidi w:val="0"/>
              <w:spacing w:before="0" w:after="283"/>
              <w:jc w:val="center"/>
              <w:rPr/>
            </w:pPr>
            <w:r>
              <w:rPr>
                <w:b/>
              </w:rPr>
              <w:t>The Bank of New York Mellon Trust Company, N.A., Trustee</w:t>
              <w:br/>
              <w:t>601 Travis Street</w:t>
              <w:br/>
              <w:t>16</w:t>
            </w:r>
            <w:r>
              <w:rPr>
                <w:b/>
                <w:position w:val="8"/>
                <w:sz w:val="19"/>
              </w:rPr>
              <w:t>th</w:t>
            </w:r>
            <w:r>
              <w:rPr>
                <w:b/>
              </w:rPr>
              <w:t xml:space="preserve"> Floor</w:t>
              <w:br/>
              <w:t xml:space="preserve">Houston, Texas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6393"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(512) 236-6555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240.14d-(b))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0" w:type="dxa"/>
          <w:right w:w="0" w:type="dxa"/>
        </w:tblCellMar>
      </w:tblPr>
      <w:tblGrid>
        <w:gridCol w:w="2210"/>
        <w:gridCol w:w="1310"/>
        <w:gridCol w:w="3590"/>
      </w:tblGrid>
      <w:tr>
        <w:trPr/>
        <w:tc>
          <w:tcPr>
            <w:tcW w:w="22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of Beneficial Interest</w:t>
            </w:r>
          </w:p>
        </w:tc>
        <w:tc>
          <w:tcPr>
            <w:tcW w:w="13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PVL</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830"/>
        <w:gridCol w:w="4805"/>
      </w:tblGrid>
      <w:tr>
        <w:trPr/>
        <w:tc>
          <w:tcPr>
            <w:tcW w:w="830" w:type="dxa"/>
            <w:tcBorders/>
            <w:vAlign w:val="center"/>
          </w:tcPr>
          <w:p>
            <w:pPr>
              <w:pStyle w:val="TableContents"/>
              <w:bidi w:val="0"/>
              <w:spacing w:before="0" w:after="283"/>
              <w:jc w:val="left"/>
              <w:rPr>
                <w:b/>
                <w:sz w:val="20"/>
              </w:rPr>
            </w:pPr>
            <w:r>
              <w:rPr>
                <w:b/>
                <w:sz w:val="20"/>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Permianville Royalty Trust (the “Trust”) issued a press release announcing the Trust’s distribution to be paid in August 2026. A copy of the press release is furnished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830"/>
        <w:gridCol w:w="3560"/>
      </w:tblGrid>
      <w:tr>
        <w:trPr/>
        <w:tc>
          <w:tcPr>
            <w:tcW w:w="830"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400"/>
        <w:gridCol w:w="5060"/>
      </w:tblGrid>
      <w:tr>
        <w:trPr/>
        <w:tc>
          <w:tcPr>
            <w:tcW w:w="140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Number</w:t>
            </w:r>
          </w:p>
        </w:tc>
        <w:tc>
          <w:tcPr>
            <w:tcW w:w="506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400" w:type="dxa"/>
            <w:tcBorders/>
            <w:vAlign w:val="center"/>
          </w:tcPr>
          <w:p>
            <w:pPr>
              <w:pStyle w:val="TableContents"/>
              <w:bidi w:val="0"/>
              <w:spacing w:before="0" w:after="283"/>
              <w:jc w:val="center"/>
              <w:rPr/>
            </w:pPr>
            <w:r>
              <w:rPr/>
              <w:t> </w:t>
            </w:r>
          </w:p>
        </w:tc>
        <w:tc>
          <w:tcPr>
            <w:tcW w:w="5060" w:type="dxa"/>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center"/>
              <w:rPr/>
            </w:pPr>
            <w:hyperlink w:anchor="tm2620722d1_ex99-1.htm">
              <w:r>
                <w:rPr>
                  <w:rStyle w:val="InternetLink"/>
                  <w:rFonts w:ascii="Times New Roman;Times;Serif" w:hAnsi="Times New Roman;Times;Serif"/>
                  <w:sz w:val="20"/>
                </w:rPr>
                <w:t>99.1</w:t>
              </w:r>
            </w:hyperlink>
          </w:p>
        </w:tc>
        <w:tc>
          <w:tcPr>
            <w:tcW w:w="5060" w:type="dxa"/>
            <w:tcBorders/>
            <w:vAlign w:val="center"/>
          </w:tcPr>
          <w:p>
            <w:pPr>
              <w:pStyle w:val="TableContents"/>
              <w:bidi w:val="0"/>
              <w:spacing w:before="0" w:after="283"/>
              <w:jc w:val="left"/>
              <w:rPr/>
            </w:pPr>
            <w:hyperlink w:anchor="tm2620722d1_ex99-1.htm">
              <w:r>
                <w:rPr>
                  <w:rStyle w:val="InternetLink"/>
                  <w:rFonts w:ascii="Times New Roman;Times;Serif" w:hAnsi="Times New Roman;Times;Serif"/>
                  <w:sz w:val="20"/>
                </w:rPr>
                <w:t>Permianville Royalty Trust Press Release dated July 17,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97" w:type="dxa"/>
        <w:jc w:val="left"/>
        <w:tblInd w:w="0" w:type="dxa"/>
        <w:tblLayout w:type="fixed"/>
        <w:tblCellMar>
          <w:top w:w="0" w:type="dxa"/>
          <w:left w:w="0" w:type="dxa"/>
          <w:bottom w:w="0" w:type="dxa"/>
          <w:right w:w="0" w:type="dxa"/>
        </w:tblCellMar>
      </w:tblPr>
      <w:tblGrid>
        <w:gridCol w:w="1625"/>
        <w:gridCol w:w="498"/>
        <w:gridCol w:w="1166"/>
        <w:gridCol w:w="5108"/>
      </w:tblGrid>
      <w:tr>
        <w:trPr/>
        <w:tc>
          <w:tcPr>
            <w:tcW w:w="1625" w:type="dxa"/>
            <w:tcBorders/>
            <w:vAlign w:val="center"/>
          </w:tcPr>
          <w:p>
            <w:pPr>
              <w:pStyle w:val="TableContents"/>
              <w:bidi w:val="0"/>
              <w:spacing w:before="0" w:after="283"/>
              <w:jc w:val="left"/>
              <w:rPr/>
            </w:pPr>
            <w:r>
              <w:rPr/>
              <w:t> </w:t>
            </w:r>
          </w:p>
        </w:tc>
        <w:tc>
          <w:tcPr>
            <w:tcW w:w="6772" w:type="dxa"/>
            <w:gridSpan w:val="3"/>
            <w:tcBorders/>
            <w:vAlign w:val="center"/>
          </w:tcPr>
          <w:p>
            <w:pPr>
              <w:pStyle w:val="TableContents"/>
              <w:bidi w:val="0"/>
              <w:spacing w:before="0" w:after="283"/>
              <w:jc w:val="left"/>
              <w:rPr>
                <w:b/>
              </w:rPr>
            </w:pPr>
            <w:r>
              <w:rPr>
                <w:b/>
              </w:rPr>
              <w:t>Permianville Royalty Trust</w:t>
            </w:r>
          </w:p>
        </w:tc>
      </w:tr>
      <w:tr>
        <w:trPr/>
        <w:tc>
          <w:tcPr>
            <w:tcW w:w="162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627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xml:space="preserve">By: </w:t>
            </w:r>
          </w:p>
        </w:tc>
        <w:tc>
          <w:tcPr>
            <w:tcW w:w="6274" w:type="dxa"/>
            <w:gridSpan w:val="2"/>
            <w:tcBorders/>
            <w:vAlign w:val="center"/>
          </w:tcPr>
          <w:p>
            <w:pPr>
              <w:pStyle w:val="TableContents"/>
              <w:bidi w:val="0"/>
              <w:spacing w:before="0" w:after="283"/>
              <w:jc w:val="left"/>
              <w:rPr/>
            </w:pPr>
            <w:r>
              <w:rPr/>
              <w:t>The Bank of New York Mellon Trust Company, N.A., as Trustee</w:t>
            </w:r>
          </w:p>
        </w:tc>
      </w:tr>
      <w:tr>
        <w:trPr/>
        <w:tc>
          <w:tcPr>
            <w:tcW w:w="162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627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17, 2026</w:t>
            </w:r>
          </w:p>
        </w:tc>
        <w:tc>
          <w:tcPr>
            <w:tcW w:w="49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5108" w:type="dxa"/>
            <w:tcBorders>
              <w:bottom w:val="single" w:sz="8" w:space="0" w:color="000000"/>
            </w:tcBorders>
            <w:tcMar>
              <w:bottom w:w="28" w:type="dxa"/>
            </w:tcMar>
            <w:vAlign w:val="center"/>
          </w:tcPr>
          <w:p>
            <w:pPr>
              <w:pStyle w:val="TableContents"/>
              <w:bidi w:val="0"/>
              <w:spacing w:before="0" w:after="283"/>
              <w:jc w:val="left"/>
              <w:rPr/>
            </w:pPr>
            <w:r>
              <w:rPr/>
              <w:t>/s/ Sarah Newell</w:t>
            </w:r>
          </w:p>
        </w:tc>
      </w:tr>
      <w:tr>
        <w:trPr/>
        <w:tc>
          <w:tcPr>
            <w:tcW w:w="162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5108" w:type="dxa"/>
            <w:tcBorders/>
            <w:vAlign w:val="center"/>
          </w:tcPr>
          <w:p>
            <w:pPr>
              <w:pStyle w:val="TableContents"/>
              <w:bidi w:val="0"/>
              <w:spacing w:before="0" w:after="283"/>
              <w:jc w:val="left"/>
              <w:rPr/>
            </w:pPr>
            <w:r>
              <w:rPr/>
              <w:t>Sarah Newell</w:t>
            </w:r>
          </w:p>
        </w:tc>
      </w:tr>
      <w:tr>
        <w:trPr/>
        <w:tc>
          <w:tcPr>
            <w:tcW w:w="162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5108"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0722d1_ex99-1.htm"/>
      <w:bookmarkStart w:id="3" w:name="kstm2620722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35814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1400" cy="1028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$0.015000 per unit, payable on August 14, 2026, to unitholders of record on July 31, 2026. The net profits interest calculation represents reported oil production for the month of April 2026 and reported natural gas production during March 2026. The calculation includes accrued costs incurred in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452" w:type="dxa"/>
        <w:jc w:val="left"/>
        <w:tblInd w:w="0" w:type="dxa"/>
        <w:tblLayout w:type="fixed"/>
        <w:tblCellMar>
          <w:top w:w="0" w:type="dxa"/>
          <w:left w:w="0" w:type="dxa"/>
          <w:bottom w:w="0" w:type="dxa"/>
          <w:right w:w="0" w:type="dxa"/>
        </w:tblCellMar>
      </w:tblPr>
      <w:tblGrid>
        <w:gridCol w:w="125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Sales Volumes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Bbl)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Mcf)</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Month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Month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548,911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$3.2 million for the current month on realized wellhead prices of $95.55/Bbl, up $0.6 million from the prior month’s oil cash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$1.5 million for the current month on realized wellhead prices of $2.65/Mcf, down $1.1 million from the prior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increased $0.4 million from the prior month to $2.5 million, and capital expenditures decreased $0.5 million from the prior month at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COERT Holdings 1 LLC (the “Sponsor”) has established a cash reserve for approved, future development expenses, primarily associated with the planned drilling of three incremental Haynesville wells by an operator on the Underlying Properties. Given the increase in expected spending, the Sponsor has notified the Trustee that it is withholding an additional $0.2 million from the current month’s net profits to be added to this cash reserve, increasing the reserve to a total of $2.0 million. The Sponsor indicates that the drilling associated with the three Haynesville wells was recently completed, and the Sponsor expects the remaining capital expenditures and conversion to first sales to occur in the coming months. As previously disclosed, this reserve is intended to fund an expected increase in billed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expectations regarding future development on the Underlying Properties and expectations regarding the newly drilled wells in the Haynesville region, including the timing of remaining capital expenditures and conversion to first sales.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1512</Words>
  <Characters>8259</Characters>
  <CharactersWithSpaces>9814</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