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850d1_8k.htm"/>
      <w:bookmarkStart w:id="1" w:name="kstm2627850d1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October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Permianville Royalty Trust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699" w:type="dxa"/>
        <w:jc w:val="left"/>
        <w:tblInd w:w="0" w:type="dxa"/>
        <w:tblLayout w:type="fixed"/>
        <w:tblCellMar>
          <w:top w:w="0" w:type="dxa"/>
          <w:left w:w="0" w:type="dxa"/>
          <w:bottom w:w="0" w:type="dxa"/>
          <w:right w:w="0" w:type="dxa"/>
        </w:tblCellMar>
      </w:tblPr>
      <w:tblGrid>
        <w:gridCol w:w="3412"/>
        <w:gridCol w:w="86"/>
        <w:gridCol w:w="1580"/>
        <w:gridCol w:w="86"/>
        <w:gridCol w:w="1535"/>
      </w:tblGrid>
      <w:tr>
        <w:trPr/>
        <w:tc>
          <w:tcPr>
            <w:tcW w:w="341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86"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001-35333</w:t>
            </w:r>
          </w:p>
        </w:tc>
        <w:tc>
          <w:tcPr>
            <w:tcW w:w="86"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45-6259461</w:t>
            </w:r>
          </w:p>
        </w:tc>
      </w:tr>
      <w:tr>
        <w:trPr/>
        <w:tc>
          <w:tcPr>
            <w:tcW w:w="3412"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86"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86"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5164" w:type="dxa"/>
            <w:gridSpan w:val="4"/>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5164" w:type="dxa"/>
            <w:gridSpan w:val="4"/>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Mellon Trust Company, N.A., Trustee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 Travis Street</w:t>
              <w:br/>
              <w:t>16</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Houston, Texas </w:t>
            </w:r>
          </w:p>
        </w:tc>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77002</w:t>
            </w:r>
          </w:p>
        </w:tc>
      </w:tr>
      <w:tr>
        <w:trPr/>
        <w:tc>
          <w:tcPr>
            <w:tcW w:w="5164" w:type="dxa"/>
            <w:gridSpan w:val="4"/>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(713) 483-6020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Soliciting material pursuant to Rule 14a-12 under the Exchange Act (17 CFR 240.14a-12) </w:t>
            </w:r>
          </w:p>
        </w:tc>
      </w:tr>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Pre-commencement communications pursuant to Rule 14d-2(b) under the Exchange Act (17 CFR 240.14d-(b)) </w:t>
            </w:r>
          </w:p>
        </w:tc>
      </w:tr>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110" w:type="dxa"/>
        <w:jc w:val="left"/>
        <w:tblInd w:w="0" w:type="dxa"/>
        <w:tblLayout w:type="fixed"/>
        <w:tblCellMar>
          <w:top w:w="0" w:type="dxa"/>
          <w:left w:w="0" w:type="dxa"/>
          <w:bottom w:w="0" w:type="dxa"/>
          <w:right w:w="0" w:type="dxa"/>
        </w:tblCellMar>
      </w:tblPr>
      <w:tblGrid>
        <w:gridCol w:w="2210"/>
        <w:gridCol w:w="1310"/>
        <w:gridCol w:w="3590"/>
      </w:tblGrid>
      <w:tr>
        <w:trPr/>
        <w:tc>
          <w:tcPr>
            <w:tcW w:w="221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Title of each class</w:t>
            </w:r>
          </w:p>
        </w:tc>
        <w:tc>
          <w:tcPr>
            <w:tcW w:w="131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Trading symbol</w:t>
            </w:r>
          </w:p>
        </w:tc>
        <w:tc>
          <w:tcPr>
            <w:tcW w:w="359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Name of each exchange on which registered</w:t>
            </w:r>
          </w:p>
        </w:tc>
      </w:tr>
      <w:tr>
        <w:trPr/>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Units of Beneficial Interest</w:t>
            </w:r>
          </w:p>
        </w:tc>
        <w:tc>
          <w:tcPr>
            <w:tcW w:w="13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PVL</w:t>
            </w:r>
          </w:p>
        </w:tc>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1470"/>
        <w:gridCol w:w="8667"/>
      </w:tblGrid>
      <w:tr>
        <w:trPr/>
        <w:tc>
          <w:tcPr>
            <w:tcW w:w="68"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b/>
                <w:sz w:val="20"/>
              </w:rPr>
            </w:pPr>
            <w:r>
              <w:rPr>
                <w:b/>
                <w:sz w:val="20"/>
              </w:rPr>
              <w:t>Item 2.02</w:t>
            </w:r>
          </w:p>
        </w:tc>
        <w:tc>
          <w:tcPr>
            <w:tcW w:w="8667"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2026, Permianville Royalty Trust (the “Trust”) issued a press release announcing the Trust’s distribution to be paid in November 2026. A copy of the press release is furnished as Exhibit 99.1 hereto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B.2 of Form 8-K and Securities and Exchange Commission Release No. 33-8176, the press release attached as Exhibit 99.1 is not “filed” for purposes of Section 18 of the Securities Exchange Act of 1934, as amended, is not subject to the liabilities of that section and is not deemed incorporated by reference in any filing under the Securities Act of 1933, as amended, but is instead furnished for purposes of that instruction.</w:t>
      </w:r>
    </w:p>
    <w:p>
      <w:pPr>
        <w:pStyle w:val="TextBody"/>
        <w:bidi w:val="0"/>
        <w:spacing w:before="0" w:after="0"/>
        <w:ind w:left="0" w:right="0" w:hanging="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81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sz w:val="20"/>
              </w:rPr>
            </w:pPr>
            <w:r>
              <w:rPr>
                <w:b/>
                <w:sz w:val="20"/>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1400"/>
        <w:gridCol w:w="60"/>
        <w:gridCol w:w="5360"/>
      </w:tblGrid>
      <w:tr>
        <w:trPr/>
        <w:tc>
          <w:tcPr>
            <w:tcW w:w="140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Exhibit Number</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1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center"/>
              <w:rPr/>
            </w:pPr>
            <w:r>
              <w:rPr/>
              <w:t> </w:t>
            </w:r>
          </w:p>
        </w:tc>
      </w:tr>
      <w:tr>
        <w:trPr/>
        <w:tc>
          <w:tcPr>
            <w:tcW w:w="1400" w:type="dxa"/>
            <w:tcBorders/>
            <w:vAlign w:val="center"/>
          </w:tcPr>
          <w:p>
            <w:pPr>
              <w:pStyle w:val="TableContents"/>
              <w:bidi w:val="0"/>
              <w:spacing w:before="0" w:after="283"/>
              <w:jc w:val="center"/>
              <w:rPr/>
            </w:pPr>
            <w:hyperlink w:anchor="tm2627850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hyperlink w:anchor="tm2627850d1_ex99-1.htm">
              <w:r>
                <w:rPr>
                  <w:rStyle w:val="InternetLink"/>
                  <w:rFonts w:ascii="Times New Roman;Times;Serif" w:hAnsi="Times New Roman;Times;Serif"/>
                  <w:sz w:val="20"/>
                </w:rPr>
                <w:t>Permianville Royalty Trust Press Release dated October 19,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484" w:type="dxa"/>
        <w:jc w:val="left"/>
        <w:tblInd w:w="0" w:type="dxa"/>
        <w:tblLayout w:type="fixed"/>
        <w:tblCellMar>
          <w:top w:w="0" w:type="dxa"/>
          <w:left w:w="0" w:type="dxa"/>
          <w:bottom w:w="0" w:type="dxa"/>
          <w:right w:w="0" w:type="dxa"/>
        </w:tblCellMar>
      </w:tblPr>
      <w:tblGrid>
        <w:gridCol w:w="1925"/>
        <w:gridCol w:w="365"/>
        <w:gridCol w:w="898"/>
        <w:gridCol w:w="4296"/>
      </w:tblGrid>
      <w:tr>
        <w:trPr/>
        <w:tc>
          <w:tcPr>
            <w:tcW w:w="1925" w:type="dxa"/>
            <w:tcBorders/>
            <w:vAlign w:val="center"/>
          </w:tcPr>
          <w:p>
            <w:pPr>
              <w:pStyle w:val="TableContents"/>
              <w:bidi w:val="0"/>
              <w:spacing w:before="0" w:after="283"/>
              <w:jc w:val="left"/>
              <w:rPr/>
            </w:pPr>
            <w:r>
              <w:rPr/>
              <w:t> </w:t>
            </w:r>
          </w:p>
        </w:tc>
        <w:tc>
          <w:tcPr>
            <w:tcW w:w="5559" w:type="dxa"/>
            <w:gridSpan w:val="3"/>
            <w:tcBorders/>
            <w:vAlign w:val="center"/>
          </w:tcPr>
          <w:p>
            <w:pPr>
              <w:pStyle w:val="TableContents"/>
              <w:bidi w:val="0"/>
              <w:spacing w:before="0" w:after="283"/>
              <w:jc w:val="left"/>
              <w:rPr>
                <w:b/>
                <w:sz w:val="20"/>
              </w:rPr>
            </w:pPr>
            <w:r>
              <w:rPr>
                <w:b/>
                <w:sz w:val="20"/>
              </w:rPr>
              <w:t>Permianville Royalty Trust</w:t>
            </w:r>
          </w:p>
        </w:tc>
      </w:tr>
      <w:tr>
        <w:trPr/>
        <w:tc>
          <w:tcPr>
            <w:tcW w:w="19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4296"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5194" w:type="dxa"/>
            <w:gridSpan w:val="2"/>
            <w:tcBorders/>
            <w:vAlign w:val="center"/>
          </w:tcPr>
          <w:p>
            <w:pPr>
              <w:pStyle w:val="TableContents"/>
              <w:bidi w:val="0"/>
              <w:spacing w:before="0" w:after="283"/>
              <w:jc w:val="left"/>
              <w:rPr>
                <w:sz w:val="20"/>
              </w:rPr>
            </w:pPr>
            <w:r>
              <w:rPr>
                <w:sz w:val="20"/>
              </w:rPr>
              <w:t>The Bank of New York Mellon Trust Company, N.A., as Trustee</w:t>
            </w:r>
          </w:p>
        </w:tc>
      </w:tr>
      <w:tr>
        <w:trPr/>
        <w:tc>
          <w:tcPr>
            <w:tcW w:w="19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4296"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20"/>
              </w:rPr>
            </w:pPr>
            <w:r>
              <w:rPr>
                <w:sz w:val="20"/>
              </w:rPr>
              <w:t>Date: October 19, 2026</w:t>
            </w:r>
          </w:p>
        </w:tc>
        <w:tc>
          <w:tcPr>
            <w:tcW w:w="365"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sz w:val="20"/>
              </w:rPr>
            </w:pPr>
            <w:r>
              <w:rPr>
                <w:sz w:val="20"/>
              </w:rPr>
              <w:t xml:space="preserve">By: </w:t>
            </w:r>
          </w:p>
        </w:tc>
        <w:tc>
          <w:tcPr>
            <w:tcW w:w="429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Elaina C. Rodgers</w:t>
            </w:r>
          </w:p>
        </w:tc>
      </w:tr>
      <w:tr>
        <w:trPr/>
        <w:tc>
          <w:tcPr>
            <w:tcW w:w="19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4296" w:type="dxa"/>
            <w:tcBorders/>
            <w:vAlign w:val="center"/>
          </w:tcPr>
          <w:p>
            <w:pPr>
              <w:pStyle w:val="TableContents"/>
              <w:bidi w:val="0"/>
              <w:spacing w:before="0" w:after="283"/>
              <w:jc w:val="left"/>
              <w:rPr>
                <w:sz w:val="20"/>
              </w:rPr>
            </w:pPr>
            <w:r>
              <w:rPr>
                <w:sz w:val="20"/>
              </w:rPr>
              <w:t>Elaina C. Rodgers</w:t>
            </w:r>
          </w:p>
        </w:tc>
      </w:tr>
      <w:tr>
        <w:trPr/>
        <w:tc>
          <w:tcPr>
            <w:tcW w:w="19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4296" w:type="dxa"/>
            <w:tcBorders/>
            <w:vAlign w:val="center"/>
          </w:tcPr>
          <w:p>
            <w:pPr>
              <w:pStyle w:val="TableContents"/>
              <w:bidi w:val="0"/>
              <w:spacing w:before="0" w:after="283"/>
              <w:jc w:val="left"/>
              <w:rPr>
                <w:sz w:val="20"/>
              </w:rPr>
            </w:pPr>
            <w:r>
              <w:rPr>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7850d1_ex99-1.htm"/>
      <w:bookmarkStart w:id="3" w:name="kstm2627850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897380" cy="5073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7380" cy="50736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Permianville Royalty Trust Announces Monthly Cash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Texas—(BUSINESS WIRE)—October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(NYSE: PVL, the “Trust”) today announced a cash distribution to the holders of its units of beneficial interest of $0.015000 per unit, payable on November 13, 2026, to unitholders of record on October 30, 2026. The net profits interest calculation represents reported oil production for the month of July 2026 and reported natural gas production during June 2026. The calculation includes accrued costs incurred in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displays reported underlying oil and natural gas sales volumes and average received wellhead prices attributable to the current and prior month recorded net profits interest calculations.</w:t>
      </w:r>
    </w:p>
    <w:p>
      <w:pPr>
        <w:pStyle w:val="TextBody"/>
        <w:bidi w:val="0"/>
        <w:spacing w:before="0" w:after="0"/>
        <w:ind w:left="0" w:right="0" w:hanging="0"/>
        <w:jc w:val="left"/>
        <w:rPr>
          <w:caps w:val="false"/>
          <w:smallCaps w:val="false"/>
        </w:rPr>
      </w:pPr>
      <w:r>
        <w:rPr>
          <w:caps w:val="false"/>
          <w:smallCaps w:val="false"/>
        </w:rPr>
        <w:t> </w:t>
      </w:r>
    </w:p>
    <w:tbl>
      <w:tblPr>
        <w:tblW w:w="6512" w:type="dxa"/>
        <w:jc w:val="left"/>
        <w:tblInd w:w="0" w:type="dxa"/>
        <w:tblLayout w:type="fixed"/>
        <w:tblCellMar>
          <w:top w:w="0" w:type="dxa"/>
          <w:left w:w="0" w:type="dxa"/>
          <w:bottom w:w="0" w:type="dxa"/>
          <w:right w:w="0" w:type="dxa"/>
        </w:tblCellMar>
      </w:tblPr>
      <w:tblGrid>
        <w:gridCol w:w="1250"/>
        <w:gridCol w:w="60"/>
        <w:gridCol w:w="60"/>
        <w:gridCol w:w="60"/>
        <w:gridCol w:w="590"/>
        <w:gridCol w:w="60"/>
        <w:gridCol w:w="60"/>
        <w:gridCol w:w="64"/>
        <w:gridCol w:w="525"/>
        <w:gridCol w:w="60"/>
        <w:gridCol w:w="60"/>
        <w:gridCol w:w="60"/>
        <w:gridCol w:w="695"/>
        <w:gridCol w:w="60"/>
        <w:gridCol w:w="60"/>
        <w:gridCol w:w="60"/>
        <w:gridCol w:w="590"/>
        <w:gridCol w:w="60"/>
        <w:gridCol w:w="60"/>
        <w:gridCol w:w="157"/>
        <w:gridCol w:w="612"/>
        <w:gridCol w:w="60"/>
        <w:gridCol w:w="60"/>
        <w:gridCol w:w="260"/>
        <w:gridCol w:w="794"/>
        <w:gridCol w:w="75"/>
      </w:tblGrid>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0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 Sales Volumes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Natural Gas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Natural Gas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Bbls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Bbls/D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Mcf/D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Bbl)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Mcf)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Month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783,863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Month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554,438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Recorded oil cash receipts from the oil and gas properties underlying the Trust (the “Underlying Properties”) totaled $3.1 million for the current month on realized wellhead prices of $81.06/Bbl, down $0.8 million from the prior month’s oil cash receipts.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Recorded natural gas cash receipts from the Underlying Properties totaled $2.4 million for the current month on realized wellhead prices of $3.05/Mcf, up $1.2 million from the prior month. The increase in recorded natural gas production was due in part to the first month of associated production and revenues received from three newly drilled wells in the Haynesville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accrued operating expenses decreased $0.3 million from the prior month to $2.6 million, and capital expenditures decreased $0.1 million from the prior month at $1.6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COERT Holdings 1 LLC (the “Sponsor”) has established a cash reserve for approved, future development expenses associated with ongoing Haynesville drilling, to account for the recent uptick in oil prices and the potential for increased capital expenditures by operators of the Underlying Properties. Given the expected increase in spending, the Sponsor has notified the Trustee that it is withholding an additional $0.3 million from the current month’s net profits to be added to this cash reserve. To date, the Sponsor has established a total reserve of $2.0 million for approved, future development expenses. The Sponsor will hold this reserve to fund an expected increase in development expenses; however, if those expenses are ultimately delayed or are less than expected, or if the outlook changes, amounts reserved but unspent will be released as an incremental cash distribution in a future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in September 2026 the Sponsor closed on a partial sale of non-producing acreage for $0.3 million, free and clear of the Trust’s net profits interest. The sale also includes a future capital expenditure carry from the buyer. The sale proceeds attributable to the Trust’s net profits interest, net of customary transaction and legal expenses, will be included in the November 2026 monthly distribution to unitholders.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Permianville Royalty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is a Delaware statutory trust formed to own a net profits interest representing the right to receive 80% of the net profits from the sale of oil and natural gas production from certain, predominantly non-operated, oil and gas properties in the states of Texas, Louisiana and New Mexico. As described in the Trust’s filings with the Securities and Exchange Commission (the “SEC”), the amount of the periodic distributions is expected to fluctuate, depending on the proceeds received by the Trust as a result of actual production volumes, oil and gas prices, the amount and timing of capital expenditures, and the Trust’s administrative expenses, among other factors. Future distributions are expected to be made on a monthly basis. For additional information on the Trust, please visit www.permianvilleroyaltytrust.com.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 and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are “forward-looking statements” within the meaning of Section 21E of the Securities Exchange Act of 1934, as amended. All statements contained in this press release, other than statements of historical facts, are “forward-looking statements” for purposes of these provisions. These forward-looking statements include the amount and date of any anticipated distribution to unitholders, expectations regarding future development on the Underlying Properties and expected capital expenditures related to such future development. The anticipated distribution is based, in large part, on the amount of cash received or expected to be received by the Trust from the Sponsor with respect to the relevant period. The amount of such cash received or expected to be received by the Trust (and its ability to pay distributions) has been and will continue to be directly affected by the volatility in commodity prices, which can fluctuate significantly as a result of a variety of factors that are beyond the control of the Trust and the Sponsor. Low oil and natural gas prices will reduce profits to which the Trust is entitled, which will reduce the amount of cash available for distribution to unitholders and in certain periods could result in no distributions to unitholders. Other important factors that could cause actual results to differ materially include expenses of the Trust and reserves for anticipated future expenses. Initial production rates may not be indicative of future production rates and are not indicative of the amounts of oil and gas that a well may produce. In addition, future monthly capital expenditures may exceed the average levels experienced in 2025 and prior periods, which could reduce the amount of cash available for distribution to unitholders and in certain periods could result in no distributions to unitholders. Statements made in this press release are qualified by the cautionary statements made in this press release. Neither the Sponsor nor the Trustee intends, and neither assumes any obligation, to update any of the statements included in this press release. An investment in units issued by the Trust is subject to the risks described in the Trust’s filings with the SEC, including the risks described in the Trust’s Annual Report on Form 10-K for the year ended December 31, 2025, filed with the SEC on March 23, 2026. The Trust’s quarterly and other filed reports are or will be available over the Internet at the SEC’s website at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Travis Street,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Elaina Rodgers 1 (713) 483-6020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1579</Words>
  <Characters>8630</Characters>
  <CharactersWithSpaces>10254</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