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Permianville Royalty Trust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001-35333</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45-6259461</w:t>
            </w:r>
          </w:p>
        </w:tc>
      </w:tr>
      <w:tr>
        <w:trPr>
          <w:trHeight w:val="216"/>
        </w:trPr>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incorporation)</w:t>
            </w:r>
          </w:p>
        </w:tc>
        <w:tc>
          <w:tcPr>
            <w:tcW w:w="44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6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The Bank of New York Mellon Trust Company, N.A., Trustee</w:t>
            </w:r>
          </w:p>
        </w:tc>
        <w:tc>
          <w:tcPr>
            <w:tcW w:w="264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4400" w:type="dxa"/>
            <w:vAlign w:val="bottom"/>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8"/>
              </w:rPr>
              <w:t>601 Travis Street</w:t>
            </w:r>
          </w:p>
        </w:tc>
        <w:tc>
          <w:tcPr>
            <w:tcW w:w="2640" w:type="dxa"/>
            <w:vAlign w:val="bottom"/>
          </w:tcPr>
          <w:p>
            <w:pPr>
              <w:spacing w:after="0"/>
              <w:rPr>
                <w:sz w:val="19"/>
                <w:szCs w:val="19"/>
                <w:color w:val="auto"/>
              </w:rPr>
            </w:pPr>
          </w:p>
        </w:tc>
      </w:tr>
      <w:tr>
        <w:trPr>
          <w:trHeight w:val="253"/>
        </w:trPr>
        <w:tc>
          <w:tcPr>
            <w:tcW w:w="2200" w:type="dxa"/>
            <w:vAlign w:val="bottom"/>
          </w:tcPr>
          <w:p>
            <w:pPr>
              <w:spacing w:after="0"/>
              <w:rPr>
                <w:sz w:val="21"/>
                <w:szCs w:val="21"/>
                <w:color w:val="auto"/>
              </w:rPr>
            </w:pPr>
          </w:p>
        </w:tc>
        <w:tc>
          <w:tcPr>
            <w:tcW w:w="4400" w:type="dxa"/>
            <w:vAlign w:val="bottom"/>
          </w:tcPr>
          <w:p>
            <w:pPr>
              <w:jc w:val="center"/>
              <w:ind w:right="2810"/>
              <w:spacing w:after="0" w:line="252" w:lineRule="exact"/>
              <w:rPr>
                <w:sz w:val="20"/>
                <w:szCs w:val="20"/>
                <w:color w:val="auto"/>
              </w:rPr>
            </w:pPr>
            <w:r>
              <w:rPr>
                <w:rFonts w:ascii="Times New Roman" w:cs="Times New Roman" w:eastAsia="Times New Roman" w:hAnsi="Times New Roman"/>
                <w:sz w:val="18"/>
                <w:szCs w:val="18"/>
                <w:b w:val="1"/>
                <w:bCs w:val="1"/>
                <w:color w:val="auto"/>
                <w:w w:val="95"/>
              </w:rPr>
              <w:t>16</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Floor</w:t>
            </w:r>
          </w:p>
        </w:tc>
        <w:tc>
          <w:tcPr>
            <w:tcW w:w="2640" w:type="dxa"/>
            <w:vAlign w:val="bottom"/>
          </w:tcPr>
          <w:p>
            <w:pPr>
              <w:spacing w:after="0"/>
              <w:rPr>
                <w:sz w:val="21"/>
                <w:szCs w:val="21"/>
                <w:color w:val="auto"/>
              </w:rPr>
            </w:pPr>
          </w:p>
        </w:tc>
      </w:tr>
      <w:tr>
        <w:trPr>
          <w:trHeight w:val="220"/>
        </w:trPr>
        <w:tc>
          <w:tcPr>
            <w:tcW w:w="2200" w:type="dxa"/>
            <w:vAlign w:val="bottom"/>
          </w:tcPr>
          <w:p>
            <w:pPr>
              <w:spacing w:after="0"/>
              <w:rPr>
                <w:sz w:val="19"/>
                <w:szCs w:val="19"/>
                <w:color w:val="auto"/>
              </w:rPr>
            </w:pPr>
          </w:p>
        </w:tc>
        <w:tc>
          <w:tcPr>
            <w:tcW w:w="4400" w:type="dxa"/>
            <w:vAlign w:val="bottom"/>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660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(512) 236-6555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260" w:type="dxa"/>
            <w:vAlign w:val="bottom"/>
          </w:tcPr>
          <w:p>
            <w:pPr>
              <w:spacing w:after="0"/>
              <w:rPr>
                <w:sz w:val="24"/>
                <w:szCs w:val="24"/>
                <w:color w:val="auto"/>
              </w:rPr>
            </w:pPr>
          </w:p>
        </w:tc>
        <w:tc>
          <w:tcPr>
            <w:tcW w:w="330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Units of Beneficial Interest</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PVL</w:t>
            </w:r>
          </w:p>
        </w:tc>
        <w:tc>
          <w:tcPr>
            <w:tcW w:w="7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April 17, 2026, Permianville Royalty Trust (the “Trust”) issued a press release announcing the Trust’s distribution to be paid in May 2026. A copy of the press release is furnished as Exhibit 99.1 hereto and is incorporated herein by reference.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 w:type="dxa"/>
            <w:vAlign w:val="bottom"/>
          </w:tcPr>
          <w:p>
            <w:pPr>
              <w:spacing w:after="0"/>
              <w:rPr>
                <w:sz w:val="17"/>
                <w:szCs w:val="17"/>
                <w:color w:val="auto"/>
              </w:rPr>
            </w:pPr>
          </w:p>
        </w:tc>
        <w:tc>
          <w:tcPr>
            <w:tcW w:w="9760" w:type="dxa"/>
            <w:vAlign w:val="bottom"/>
            <w:gridSpan w:val="4"/>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12"/>
        </w:trPr>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98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0000EE"/>
              </w:rPr>
              <w:t>Permianville Royalty Trust Press Release dated April 17, 2026.</w:t>
            </w:r>
          </w:p>
        </w:tc>
      </w:tr>
      <w:tr>
        <w:trPr>
          <w:trHeight w:val="696"/>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r>
      <w:tr>
        <w:trPr>
          <w:trHeight w:val="432"/>
        </w:trPr>
        <w:tc>
          <w:tcPr>
            <w:tcW w:w="3560" w:type="dxa"/>
            <w:vAlign w:val="bottom"/>
          </w:tcPr>
          <w:p>
            <w:pPr>
              <w:spacing w:after="0"/>
              <w:rPr>
                <w:sz w:val="24"/>
                <w:szCs w:val="24"/>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The Bank of New York Mellon Trust Company, N.A., as Trustee</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768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Sarah Newell</w:t>
            </w:r>
          </w:p>
        </w:tc>
      </w:tr>
      <w:tr>
        <w:trPr>
          <w:trHeight w:val="191"/>
        </w:trPr>
        <w:tc>
          <w:tcPr>
            <w:tcW w:w="3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Sarah Newell</w:t>
            </w:r>
          </w:p>
        </w:tc>
      </w:tr>
      <w:tr>
        <w:trPr>
          <w:trHeight w:val="234"/>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75"/>
        </w:trPr>
        <w:tc>
          <w:tcPr>
            <w:tcW w:w="3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3625850" cy="1020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585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Permianville Royalty Trust Announces Monthly Cash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Texas—(BUSINESS WIRE)—April 17,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Permianville Royalty Trust (NYSE: PVL, the “Trust”) today announced a cash distribution to the holders of its units of beneficial interest of $0.010000 per unit, payable on May 15, 2026, to unitholders of record on April 30, 2026. The net profits interest calculation represents reported oil production for the month of January 2026 and reported natural gas production during December 2025. The calculation includes accrued costs incurred in February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reported underlying oil and natural gas sales volumes and average received wellhead prices attributable to the current and prior month recorded net profits interest calculations.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Underlying Sales Volumes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23"/>
        </w:trPr>
        <w:tc>
          <w:tcPr>
            <w:tcW w:w="1720" w:type="dxa"/>
            <w:vAlign w:val="bottom"/>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1"/>
              </w:rPr>
              <w:t>Oil</w:t>
            </w:r>
          </w:p>
        </w:tc>
        <w:tc>
          <w:tcPr>
            <w:tcW w:w="14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9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0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Bbls/D</w:t>
            </w:r>
          </w:p>
        </w:tc>
        <w:tc>
          <w:tcPr>
            <w:tcW w:w="240" w:type="dxa"/>
            <w:vAlign w:val="bottom"/>
          </w:tcPr>
          <w:p>
            <w:pPr>
              <w:spacing w:after="0"/>
              <w:rPr>
                <w:sz w:val="19"/>
                <w:szCs w:val="19"/>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Mcf</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Mcf/D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 Mcf)</w:t>
            </w:r>
          </w:p>
        </w:tc>
      </w:tr>
      <w:tr>
        <w:trPr>
          <w:trHeight w:val="210"/>
        </w:trPr>
        <w:tc>
          <w:tcPr>
            <w:tcW w:w="1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Month</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38,192</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766,861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24,737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52.05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Prior Month</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29,538</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1,133,064</w:t>
            </w:r>
          </w:p>
        </w:tc>
        <w:tc>
          <w:tcPr>
            <w:tcW w:w="380" w:type="dxa"/>
            <w:vAlign w:val="bottom"/>
          </w:tcPr>
          <w:p>
            <w:pPr>
              <w:spacing w:after="0"/>
              <w:rPr>
                <w:sz w:val="20"/>
                <w:szCs w:val="20"/>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37,769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55.90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Recorded oil cash receipts from the oil and gas properties underlying the Trust (the “Underlying Properties”) totaled $2.0 million for the current month on realized wellhead prices of $52.05/Bbl, up $0.3 million from the prior month’s oil cash receipts. The increase in oil sales was due in part to a temporary delay in reported revenues in the prior month that impacted certain of the Underlying Properties.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Recorded natural gas cash receipts from the Underlying Properties totaled $2.8 million for the current month on realized wellhead prices of $3.60/Mcf, down $0.6 million from the prior month. The decrease in natural gas sales in the current month compared to the prior month was primarily due to the prior period royalty adjustments that represented a partial, one-time reporting catch-up for gas receipts.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accrued operating expenses decreased $0.1 million from the prior month to $2.9 million, and capital expenditures increased $0.2 million from the prior month to $0.9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COERT Holdings 1 LLC (the “Sponsor”) has established a cash reserve for approved, future development expenses, primarily associated with three incremental Haynesville wells that an operator on the Underlying Properties has indicated it intends to drill in the coming months. Given the increase in expected spending, the Sponsor has notified the Trustee that it is withholding an additional $0.3 million from the current month’s net profits to be added to this cash reserve. To date, the Sponsor has established a total reserve of $1.2 million for approved, future development expenses. This reserve is intended to fund an expected increase in development expenses; however, if those expenses are ultimately delayed or are less than expected, or if the outlook changes, amounts reserved but unspent will be released as an incremental cash distribution in a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About Permianville Royalty Trust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Cautionary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and expectations regarding future development on the Underlying Properties.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Permianville Royalty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192" w:lineRule="auto"/>
        <w:rPr>
          <w:sz w:val="20"/>
          <w:szCs w:val="20"/>
          <w:color w:val="auto"/>
        </w:rPr>
      </w:pPr>
      <w:r>
        <w:rPr>
          <w:rFonts w:ascii="Times New Roman" w:cs="Times New Roman" w:eastAsia="Times New Roman" w:hAnsi="Times New Roman"/>
          <w:sz w:val="18"/>
          <w:szCs w:val="18"/>
          <w:color w:val="auto"/>
        </w:rPr>
        <w:t>601 Travis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Newell 1 (512) 236-6555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2026-04-17T15:36:02Z</dcterms:created>
  <dcterms:modified xsi:type="dcterms:W3CDTF">2026-04-17T15:36:02Z</dcterms:modified>
</cp:coreProperties>
</file>