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0310d1_10q.htm"/>
      <w:bookmarkStart w:id="1" w:name="kstm2610310d1_10q"/>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pPr>
      <w: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FORM 10-Q</w:t>
      </w:r>
    </w:p>
    <w:p>
      <w:pPr>
        <w:pStyle w:val="TextBody"/>
        <w:bidi w:val="0"/>
        <w:spacing w:before="0" w:after="0"/>
        <w:ind w:left="0" w:right="0" w:hanging="0"/>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b/>
              </w:rPr>
            </w:pPr>
            <w:r>
              <w:rPr>
                <w:b/>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001-35333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PERMIANVILLE ROYALTY TRUST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5165"/>
        <w:gridCol w:w="60"/>
        <w:gridCol w:w="2915"/>
      </w:tblGrid>
      <w:tr>
        <w:trPr/>
        <w:tc>
          <w:tcPr>
            <w:tcW w:w="51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45-6259461</w:t>
            </w:r>
          </w:p>
        </w:tc>
      </w:tr>
      <w:tr>
        <w:trPr/>
        <w:tc>
          <w:tcPr>
            <w:tcW w:w="5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51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pPr>
            <w:r>
              <w:rPr/>
              <w:t> </w:t>
            </w:r>
          </w:p>
        </w:tc>
      </w:tr>
      <w:tr>
        <w:trPr/>
        <w:tc>
          <w:tcPr>
            <w:tcW w:w="51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Bank of New York Mellon Trust Company, N.A., Trustee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601 Travis Street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Houston, Texas</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77002</w:t>
            </w:r>
          </w:p>
        </w:tc>
      </w:tr>
      <w:tr>
        <w:trPr/>
        <w:tc>
          <w:tcPr>
            <w:tcW w:w="5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1-512-236-6555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650" w:type="dxa"/>
        <w:jc w:val="left"/>
        <w:tblInd w:w="0" w:type="dxa"/>
        <w:tblLayout w:type="fixed"/>
        <w:tblCellMar>
          <w:top w:w="0" w:type="dxa"/>
          <w:left w:w="0" w:type="dxa"/>
          <w:bottom w:w="28" w:type="dxa"/>
          <w:right w:w="0" w:type="dxa"/>
        </w:tblCellMar>
      </w:tblPr>
      <w:tblGrid>
        <w:gridCol w:w="2210"/>
        <w:gridCol w:w="60"/>
        <w:gridCol w:w="1610"/>
        <w:gridCol w:w="60"/>
        <w:gridCol w:w="3710"/>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Units of Beneficial Interest</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PVL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New York Stock Exchange</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2105"/>
        <w:gridCol w:w="60"/>
        <w:gridCol w:w="2510"/>
      </w:tblGrid>
      <w:tr>
        <w:trPr/>
        <w:tc>
          <w:tcPr>
            <w:tcW w:w="21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Large accelerated filer  ☐</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Accelerated filer  ☐</w:t>
            </w:r>
          </w:p>
        </w:tc>
      </w:tr>
      <w:tr>
        <w:trPr/>
        <w:tc>
          <w:tcPr>
            <w:tcW w:w="21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Non-accelerated filer  ☒</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15, 2026, 33,000,000 units of beneficial interest in Permianville Royalty Trust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720" w:type="dxa"/>
        <w:jc w:val="left"/>
        <w:tblInd w:w="0" w:type="dxa"/>
        <w:tblLayout w:type="fixed"/>
        <w:tblCellMar>
          <w:top w:w="0" w:type="dxa"/>
          <w:left w:w="0" w:type="dxa"/>
          <w:bottom w:w="0" w:type="dxa"/>
          <w:right w:w="0" w:type="dxa"/>
        </w:tblCellMar>
      </w:tblPr>
      <w:tblGrid>
        <w:gridCol w:w="725"/>
        <w:gridCol w:w="8750"/>
        <w:gridCol w:w="245"/>
      </w:tblGrid>
      <w:tr>
        <w:trPr/>
        <w:tc>
          <w:tcPr>
            <w:tcW w:w="725" w:type="dxa"/>
            <w:tcBorders/>
            <w:vAlign w:val="center"/>
          </w:tcPr>
          <w:p>
            <w:pPr>
              <w:pStyle w:val="TableContents"/>
              <w:bidi w:val="0"/>
              <w:spacing w:before="0" w:after="283"/>
              <w:ind w:left="0" w:right="0" w:hanging="180"/>
              <w:jc w:val="left"/>
              <w:rPr/>
            </w:pPr>
            <w:r>
              <w:rPr/>
              <w:t> </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Glossary of Certain Oil and Natural Gas Terms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725" w:type="dxa"/>
            <w:tcBorders/>
            <w:vAlign w:val="center"/>
          </w:tcPr>
          <w:p>
            <w:pPr>
              <w:pStyle w:val="TableContents"/>
              <w:bidi w:val="0"/>
              <w:spacing w:before="0" w:after="283"/>
              <w:ind w:left="0" w:right="0" w:hanging="180"/>
              <w:jc w:val="left"/>
              <w:rPr/>
            </w:pPr>
            <w:r>
              <w:rPr/>
              <w:t> </w:t>
            </w:r>
          </w:p>
        </w:tc>
        <w:tc>
          <w:tcPr>
            <w:tcW w:w="8750"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right"/>
              <w:rPr/>
            </w:pPr>
            <w:r>
              <w:rPr/>
              <w:t> </w:t>
            </w:r>
          </w:p>
        </w:tc>
      </w:tr>
      <w:tr>
        <w:trPr/>
        <w:tc>
          <w:tcPr>
            <w:tcW w:w="725"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283"/>
              <w:jc w:val="center"/>
              <w:rPr>
                <w:b/>
              </w:rPr>
            </w:pPr>
            <w:r>
              <w:rPr>
                <w:b/>
              </w:rPr>
              <w:t>PART I — FINANCIAL INFORMATION</w:t>
            </w:r>
          </w:p>
        </w:tc>
        <w:tc>
          <w:tcPr>
            <w:tcW w:w="245" w:type="dxa"/>
            <w:tcBorders/>
            <w:vAlign w:val="center"/>
          </w:tcPr>
          <w:p>
            <w:pPr>
              <w:pStyle w:val="TableContents"/>
              <w:bidi w:val="0"/>
              <w:spacing w:before="0" w:after="283"/>
              <w:jc w:val="right"/>
              <w:rPr/>
            </w:pPr>
            <w:r>
              <w:rPr/>
              <w:t> </w:t>
            </w:r>
          </w:p>
        </w:tc>
      </w:tr>
      <w:tr>
        <w:trPr/>
        <w:tc>
          <w:tcPr>
            <w:tcW w:w="72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725" w:type="dxa"/>
            <w:tcBorders/>
            <w:vAlign w:val="center"/>
          </w:tcPr>
          <w:p>
            <w:pPr>
              <w:pStyle w:val="TableContents"/>
              <w:bidi w:val="0"/>
              <w:spacing w:before="0" w:after="283"/>
              <w:ind w:left="0" w:right="0" w:hanging="180"/>
              <w:jc w:val="left"/>
              <w:rPr/>
            </w:pPr>
            <w:r>
              <w:rPr/>
              <w:t> </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Statements of Assets, Liabilities and Trust Corpus as of March 31, 2026 (unaudited) and December 31, 2025</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725" w:type="dxa"/>
            <w:tcBorders/>
            <w:vAlign w:val="center"/>
          </w:tcPr>
          <w:p>
            <w:pPr>
              <w:pStyle w:val="TableContents"/>
              <w:bidi w:val="0"/>
              <w:spacing w:before="0" w:after="283"/>
              <w:ind w:left="0" w:right="0" w:hanging="180"/>
              <w:jc w:val="left"/>
              <w:rPr/>
            </w:pPr>
            <w:r>
              <w:rPr/>
              <w:t> </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Statements of Distributable Income for the three months ended March 31, 2026 and 2025 (unaudited)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725" w:type="dxa"/>
            <w:tcBorders/>
            <w:vAlign w:val="center"/>
          </w:tcPr>
          <w:p>
            <w:pPr>
              <w:pStyle w:val="TableContents"/>
              <w:bidi w:val="0"/>
              <w:spacing w:before="0" w:after="283"/>
              <w:ind w:left="0" w:right="0" w:hanging="180"/>
              <w:jc w:val="left"/>
              <w:rPr/>
            </w:pPr>
            <w:r>
              <w:rPr/>
              <w:t> </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Statements of Changes in Trust Corpus for the three months ended March 31, 2026 and 2025 (unaudited)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725" w:type="dxa"/>
            <w:tcBorders/>
            <w:vAlign w:val="center"/>
          </w:tcPr>
          <w:p>
            <w:pPr>
              <w:pStyle w:val="TableContents"/>
              <w:bidi w:val="0"/>
              <w:spacing w:before="0" w:after="283"/>
              <w:ind w:left="0" w:right="0" w:hanging="180"/>
              <w:jc w:val="left"/>
              <w:rPr/>
            </w:pPr>
            <w:r>
              <w:rPr/>
              <w:t> </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to Financial Statements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72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2.</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Trustee’s Discussion and Analysis of Financial Condition and Results of Operations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72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3.</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Quantitative and Qualitative Disclosures About Market Risk</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72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4.</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Controls and Procedures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725" w:type="dxa"/>
            <w:tcBorders/>
            <w:vAlign w:val="center"/>
          </w:tcPr>
          <w:p>
            <w:pPr>
              <w:pStyle w:val="TableContents"/>
              <w:bidi w:val="0"/>
              <w:spacing w:before="0" w:after="283"/>
              <w:ind w:left="0" w:right="0" w:hanging="180"/>
              <w:jc w:val="left"/>
              <w:rPr/>
            </w:pPr>
            <w:r>
              <w:rPr/>
              <w:t> </w:t>
            </w:r>
          </w:p>
        </w:tc>
        <w:tc>
          <w:tcPr>
            <w:tcW w:w="875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25"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283"/>
              <w:jc w:val="center"/>
              <w:rPr>
                <w:b/>
              </w:rPr>
            </w:pPr>
            <w:r>
              <w:rPr>
                <w:b/>
              </w:rPr>
              <w:t>PART II — OTHER INFORMATION</w:t>
            </w:r>
          </w:p>
        </w:tc>
        <w:tc>
          <w:tcPr>
            <w:tcW w:w="245" w:type="dxa"/>
            <w:tcBorders/>
            <w:vAlign w:val="center"/>
          </w:tcPr>
          <w:p>
            <w:pPr>
              <w:pStyle w:val="TableContents"/>
              <w:bidi w:val="0"/>
              <w:spacing w:before="0" w:after="283"/>
              <w:jc w:val="right"/>
              <w:rPr/>
            </w:pPr>
            <w:r>
              <w:rPr/>
              <w:t> </w:t>
            </w:r>
          </w:p>
        </w:tc>
      </w:tr>
      <w:tr>
        <w:trPr/>
        <w:tc>
          <w:tcPr>
            <w:tcW w:w="72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1A.</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Factors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72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5.</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Information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725"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6.</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725" w:type="dxa"/>
            <w:tcBorders/>
            <w:vAlign w:val="center"/>
          </w:tcPr>
          <w:p>
            <w:pPr>
              <w:pStyle w:val="TableContents"/>
              <w:bidi w:val="0"/>
              <w:spacing w:before="0" w:after="283"/>
              <w:ind w:left="0" w:right="0" w:hanging="180"/>
              <w:jc w:val="left"/>
              <w:rPr/>
            </w:pPr>
            <w:r>
              <w:rPr/>
              <w:t> </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GLOSSARY OF CERTAIN OIL AND NATURAL GAS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definitions of significant terms used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Bbl</w:t>
      </w:r>
      <w:r>
        <w:rPr>
          <w:rFonts w:ascii="Times New Roman;Times;Serif" w:hAnsi="Times New Roman;Times;Serif"/>
          <w:b w:val="false"/>
          <w:i w:val="false"/>
          <w:caps w:val="false"/>
          <w:smallCaps w:val="false"/>
          <w:sz w:val="20"/>
        </w:rPr>
        <w:t>—One barrel of 42 U.S. gallons liquid volume, used herein in reference to crude oil and other liquid hydrocarbons.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Boe</w:t>
      </w:r>
      <w:r>
        <w:rPr>
          <w:rFonts w:ascii="Times New Roman;Times;Serif" w:hAnsi="Times New Roman;Times;Serif"/>
          <w:b w:val="false"/>
          <w:i w:val="false"/>
          <w:caps w:val="false"/>
          <w:smallCaps w:val="false"/>
          <w:sz w:val="20"/>
        </w:rPr>
        <w:t>—One barrel of oil equivalent, computed on an approximate energy equivalent basis that one Bbl of crude oil equals approximately six Mcf of natural gas.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Btu</w:t>
      </w:r>
      <w:r>
        <w:rPr>
          <w:rFonts w:ascii="Times New Roman;Times;Serif" w:hAnsi="Times New Roman;Times;Serif"/>
          <w:b w:val="false"/>
          <w:i w:val="false"/>
          <w:caps w:val="false"/>
          <w:smallCaps w:val="false"/>
          <w:sz w:val="20"/>
        </w:rPr>
        <w:t>—A British Thermal Unit, a common unit of energy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Completion</w:t>
      </w:r>
      <w:r>
        <w:rPr>
          <w:rFonts w:ascii="Times New Roman;Times;Serif" w:hAnsi="Times New Roman;Times;Serif"/>
          <w:b w:val="false"/>
          <w:i w:val="false"/>
          <w:caps w:val="false"/>
          <w:smallCaps w:val="false"/>
          <w:sz w:val="20"/>
        </w:rPr>
        <w:t>—The installation of permanent equipment for the production of oil or natural gas, or in the case of a dry hole, the reporting of abandonment to the appropriate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Differential</w:t>
      </w:r>
      <w:r>
        <w:rPr>
          <w:rFonts w:ascii="Times New Roman;Times;Serif" w:hAnsi="Times New Roman;Times;Serif"/>
          <w:b w:val="false"/>
          <w:i w:val="false"/>
          <w:caps w:val="false"/>
          <w:smallCaps w:val="false"/>
          <w:sz w:val="20"/>
        </w:rPr>
        <w:t>—The difference between a benchmark price of oil and natural gas, such as the NYMEX crude oil spot, and the wellhead price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Field</w:t>
      </w:r>
      <w:r>
        <w:rPr>
          <w:rFonts w:ascii="Times New Roman;Times;Serif" w:hAnsi="Times New Roman;Times;Serif"/>
          <w:b w:val="false"/>
          <w:i w:val="false"/>
          <w:caps w:val="false"/>
          <w:smallCaps w:val="false"/>
          <w:sz w:val="20"/>
        </w:rPr>
        <w:t>—An area consisting of either a single reservoir or multiple reservoirs, all grouped on or related to the same individual geological structural feature and/or stratigraphic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Gross acres or gross wells</w:t>
      </w:r>
      <w:r>
        <w:rPr>
          <w:rFonts w:ascii="Times New Roman;Times;Serif" w:hAnsi="Times New Roman;Times;Serif"/>
          <w:b w:val="false"/>
          <w:i w:val="false"/>
          <w:caps w:val="false"/>
          <w:smallCaps w:val="false"/>
          <w:sz w:val="20"/>
        </w:rPr>
        <w:t>—The total acres or wells, as the case may be, in which a working interest is owned.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MBbl</w:t>
      </w:r>
      <w:r>
        <w:rPr>
          <w:rFonts w:ascii="Times New Roman;Times;Serif" w:hAnsi="Times New Roman;Times;Serif"/>
          <w:b w:val="false"/>
          <w:i w:val="false"/>
          <w:caps w:val="false"/>
          <w:smallCaps w:val="false"/>
          <w:sz w:val="20"/>
        </w:rPr>
        <w:t>—One thousand barrels of crude oil or condensate.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Mboe</w:t>
      </w:r>
      <w:r>
        <w:rPr>
          <w:rFonts w:ascii="Times New Roman;Times;Serif" w:hAnsi="Times New Roman;Times;Serif"/>
          <w:b w:val="false"/>
          <w:i w:val="false"/>
          <w:caps w:val="false"/>
          <w:smallCaps w:val="false"/>
          <w:sz w:val="20"/>
        </w:rPr>
        <w:t>—One thousand barrels of oil equivalent.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Mcf</w:t>
      </w:r>
      <w:r>
        <w:rPr>
          <w:rFonts w:ascii="Times New Roman;Times;Serif" w:hAnsi="Times New Roman;Times;Serif"/>
          <w:b w:val="false"/>
          <w:i w:val="false"/>
          <w:caps w:val="false"/>
          <w:smallCaps w:val="false"/>
          <w:sz w:val="20"/>
        </w:rPr>
        <w:t>—One thousand cubic feet of natural gas.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MMBoe</w:t>
      </w:r>
      <w:r>
        <w:rPr>
          <w:rFonts w:ascii="Times New Roman;Times;Serif" w:hAnsi="Times New Roman;Times;Serif"/>
          <w:b w:val="false"/>
          <w:i w:val="false"/>
          <w:caps w:val="false"/>
          <w:smallCaps w:val="false"/>
          <w:sz w:val="20"/>
        </w:rPr>
        <w:t>—One million barrels of oil equivalent.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MMBtu</w:t>
      </w:r>
      <w:r>
        <w:rPr>
          <w:rFonts w:ascii="Times New Roman;Times;Serif" w:hAnsi="Times New Roman;Times;Serif"/>
          <w:b w:val="false"/>
          <w:i w:val="false"/>
          <w:caps w:val="false"/>
          <w:smallCaps w:val="false"/>
          <w:sz w:val="20"/>
        </w:rPr>
        <w:t>—One million British Thermal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MMcf</w:t>
      </w:r>
      <w:r>
        <w:rPr>
          <w:rFonts w:ascii="Times New Roman;Times;Serif" w:hAnsi="Times New Roman;Times;Serif"/>
          <w:b w:val="false"/>
          <w:i w:val="false"/>
          <w:caps w:val="false"/>
          <w:smallCaps w:val="false"/>
          <w:sz w:val="20"/>
        </w:rPr>
        <w:t>—One million cubic feet of natural gas.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acres or net wells</w:t>
      </w:r>
      <w:r>
        <w:rPr>
          <w:rFonts w:ascii="Times New Roman;Times;Serif" w:hAnsi="Times New Roman;Times;Serif"/>
          <w:b w:val="false"/>
          <w:i w:val="false"/>
          <w:caps w:val="false"/>
          <w:smallCaps w:val="false"/>
          <w:sz w:val="20"/>
        </w:rPr>
        <w:t>—The sum of the fractional working interests owned in gross acres or wells,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profits interest</w:t>
      </w:r>
      <w:r>
        <w:rPr>
          <w:rFonts w:ascii="Times New Roman;Times;Serif" w:hAnsi="Times New Roman;Times;Serif"/>
          <w:b w:val="false"/>
          <w:i w:val="false"/>
          <w:caps w:val="false"/>
          <w:smallCaps w:val="false"/>
          <w:sz w:val="20"/>
        </w:rPr>
        <w:t>—A nonoperating interest that creates a share in gross production from an operating or working interest in oil and natural gas properties. The share is measured by net profits from the sale of production after deducting costs associated with that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NYMEX</w:t>
      </w:r>
      <w:r>
        <w:rPr>
          <w:rFonts w:ascii="Times New Roman;Times;Serif" w:hAnsi="Times New Roman;Times;Serif"/>
          <w:b w:val="false"/>
          <w:i w:val="false"/>
          <w:caps w:val="false"/>
          <w:smallCaps w:val="false"/>
          <w:sz w:val="20"/>
        </w:rPr>
        <w:t>—New York Mercantile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NYSE</w:t>
      </w:r>
      <w:r>
        <w:rPr>
          <w:rFonts w:ascii="Times New Roman;Times;Serif" w:hAnsi="Times New Roman;Times;Serif"/>
          <w:b w:val="false"/>
          <w:i w:val="false"/>
          <w:caps w:val="false"/>
          <w:smallCaps w:val="false"/>
          <w:sz w:val="20"/>
        </w:rPr>
        <w:t>—New York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Plugging and abandonment</w:t>
      </w:r>
      <w:r>
        <w:rPr>
          <w:rFonts w:ascii="Times New Roman;Times;Serif" w:hAnsi="Times New Roman;Times;Serif"/>
          <w:b w:val="false"/>
          <w:i w:val="false"/>
          <w:caps w:val="false"/>
          <w:smallCaps w:val="false"/>
          <w:sz w:val="20"/>
        </w:rPr>
        <w:t>—Activities to remove production equipment and seal off a well at the end of a well’s economic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Reservoir</w:t>
      </w:r>
      <w:r>
        <w:rPr>
          <w:rFonts w:ascii="Times New Roman;Times;Serif" w:hAnsi="Times New Roman;Times;Serif"/>
          <w:b w:val="false"/>
          <w:i w:val="false"/>
          <w:caps w:val="false"/>
          <w:smallCaps w:val="false"/>
          <w:sz w:val="20"/>
        </w:rPr>
        <w:t>—A porous and permeable underground formation containing a natural accumulation of producible oil and/or natural gas that is confined by impermeable rock or water barriers and is individual and separate from other reservoirs.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Working interest</w:t>
      </w:r>
      <w:r>
        <w:rPr>
          <w:rFonts w:ascii="Times New Roman;Times;Serif" w:hAnsi="Times New Roman;Times;Serif"/>
          <w:b w:val="false"/>
          <w:i w:val="false"/>
          <w:caps w:val="false"/>
          <w:smallCaps w:val="false"/>
          <w:sz w:val="20"/>
        </w:rPr>
        <w:t>—The right granted to the lessee of a property to explore for and to produce and own oil, natural gas, or other minerals. The working interest owners bear the exploration, development, and operating costs on either a cash, penalty, or carried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I—FINANCIAL INFORMATION</w:t>
      </w:r>
    </w:p>
    <w:p>
      <w:pPr>
        <w:pStyle w:val="TextBody"/>
        <w:bidi w:val="0"/>
        <w:spacing w:before="0" w:after="0"/>
        <w:ind w:left="0" w:right="0" w:hanging="0"/>
        <w:jc w:val="left"/>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38"/>
        <w:gridCol w:w="785"/>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b/>
              </w:rPr>
            </w:pPr>
            <w:r>
              <w:rPr>
                <w:b/>
              </w:rPr>
              <w:t>Item  1.</w:t>
            </w:r>
          </w:p>
        </w:tc>
        <w:tc>
          <w:tcPr>
            <w:tcW w:w="2165" w:type="dxa"/>
            <w:tcBorders/>
            <w:vAlign w:val="center"/>
          </w:tcPr>
          <w:p>
            <w:pPr>
              <w:pStyle w:val="TableContents"/>
              <w:bidi w:val="0"/>
              <w:spacing w:before="0" w:after="283"/>
              <w:jc w:val="left"/>
              <w:rPr>
                <w:b/>
                <w:i/>
              </w:rPr>
            </w:pPr>
            <w:r>
              <w:rPr>
                <w:b/>
                <w:i/>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PERMIANVILLE ROYALTY TRUST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Assets, Liabilities and Trust Corpus</w:t>
      </w:r>
    </w:p>
    <w:p>
      <w:pPr>
        <w:pStyle w:val="TextBody"/>
        <w:bidi w:val="0"/>
        <w:spacing w:before="0" w:after="0"/>
        <w:ind w:left="0" w:right="0" w:hanging="0"/>
        <w:jc w:val="left"/>
        <w:rPr>
          <w:caps w:val="false"/>
          <w:smallCaps w:val="false"/>
        </w:rPr>
      </w:pPr>
      <w:r>
        <w:rPr>
          <w:caps w:val="false"/>
          <w:smallCaps w:val="false"/>
        </w:rPr>
        <w:t> </w:t>
      </w:r>
    </w:p>
    <w:tbl>
      <w:tblPr>
        <w:tblW w:w="7009" w:type="dxa"/>
        <w:jc w:val="left"/>
        <w:tblInd w:w="0" w:type="dxa"/>
        <w:tblLayout w:type="fixed"/>
        <w:tblCellMar>
          <w:top w:w="0" w:type="dxa"/>
          <w:left w:w="0" w:type="dxa"/>
          <w:bottom w:w="0" w:type="dxa"/>
          <w:right w:w="0" w:type="dxa"/>
        </w:tblCellMar>
      </w:tblPr>
      <w:tblGrid>
        <w:gridCol w:w="4505"/>
        <w:gridCol w:w="60"/>
        <w:gridCol w:w="125"/>
        <w:gridCol w:w="950"/>
        <w:gridCol w:w="60"/>
        <w:gridCol w:w="60"/>
        <w:gridCol w:w="136"/>
        <w:gridCol w:w="1038"/>
        <w:gridCol w:w="75"/>
      </w:tblGrid>
      <w:tr>
        <w:trPr/>
        <w:tc>
          <w:tcPr>
            <w:tcW w:w="45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3,186,425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2,733,791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profits interest in oil and natural gas properties,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34,859,282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36,234,241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38,045,707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38,968,032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TRUST CORPUS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corpus (33,000,000 units issued and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38,045,707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38,968,032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Trust corpus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38,045,707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38,968,032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PERMIANVILLE ROYALTY TRUST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Distributable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6821" w:type="dxa"/>
        <w:jc w:val="left"/>
        <w:tblInd w:w="0" w:type="dxa"/>
        <w:tblLayout w:type="fixed"/>
        <w:tblCellMar>
          <w:top w:w="0" w:type="dxa"/>
          <w:left w:w="0" w:type="dxa"/>
          <w:bottom w:w="0" w:type="dxa"/>
          <w:right w:w="0" w:type="dxa"/>
        </w:tblCellMar>
      </w:tblPr>
      <w:tblGrid>
        <w:gridCol w:w="3965"/>
        <w:gridCol w:w="60"/>
        <w:gridCol w:w="169"/>
        <w:gridCol w:w="1148"/>
        <w:gridCol w:w="108"/>
        <w:gridCol w:w="81"/>
        <w:gridCol w:w="169"/>
        <w:gridCol w:w="1026"/>
        <w:gridCol w:w="95"/>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8" w:type="dxa"/>
            <w:tcBorders/>
            <w:vAlign w:val="center"/>
          </w:tcPr>
          <w:p>
            <w:pPr>
              <w:pStyle w:val="TableContents"/>
              <w:bidi w:val="0"/>
              <w:spacing w:before="0" w:after="283"/>
              <w:jc w:val="left"/>
              <w:rPr>
                <w:caps w:val="false"/>
                <w:smallCaps w:val="false"/>
              </w:rPr>
            </w:pPr>
            <w:r>
              <w:rPr>
                <w:caps w:val="false"/>
                <w:smallCaps w:val="false"/>
              </w:rPr>
              <w:t> </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net profits interest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1,955,307</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investment income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23,418</w:t>
            </w:r>
          </w:p>
        </w:tc>
        <w:tc>
          <w:tcPr>
            <w:tcW w:w="1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(107,091</w:t>
            </w:r>
          </w:p>
        </w:tc>
        <w:tc>
          <w:tcPr>
            <w:tcW w:w="1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(248,557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reserves (withheld) used for Trust expenses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(452,634</w:t>
            </w:r>
          </w:p>
        </w:tc>
        <w:tc>
          <w:tcPr>
            <w:tcW w:w="1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225,557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Distributable income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1,419,000</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6"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Distributable income per unit (33,000,000 units)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0.043000</w:t>
            </w:r>
          </w:p>
        </w:tc>
        <w:tc>
          <w:tcPr>
            <w:tcW w:w="1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6"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PERMIANVILLE ROYALTY TRUST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Changes in Trust Corpus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6807" w:type="dxa"/>
        <w:jc w:val="left"/>
        <w:tblInd w:w="0" w:type="dxa"/>
        <w:tblLayout w:type="fixed"/>
        <w:tblCellMar>
          <w:top w:w="0" w:type="dxa"/>
          <w:left w:w="0" w:type="dxa"/>
          <w:bottom w:w="0" w:type="dxa"/>
          <w:right w:w="0" w:type="dxa"/>
        </w:tblCellMar>
      </w:tblPr>
      <w:tblGrid>
        <w:gridCol w:w="3950"/>
        <w:gridCol w:w="60"/>
        <w:gridCol w:w="147"/>
        <w:gridCol w:w="1122"/>
        <w:gridCol w:w="94"/>
        <w:gridCol w:w="70"/>
        <w:gridCol w:w="147"/>
        <w:gridCol w:w="1122"/>
        <w:gridCol w:w="95"/>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12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ind w:left="0" w:right="0" w:hanging="245"/>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corpus, beginning of period</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38,968,032</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43,936,189</w:t>
            </w:r>
          </w:p>
        </w:tc>
        <w:tc>
          <w:tcPr>
            <w:tcW w:w="95" w:type="dxa"/>
            <w:tcBorders/>
            <w:shd w:fill="CCEEFF" w:val="clear"/>
            <w:vAlign w:val="center"/>
          </w:tcPr>
          <w:p>
            <w:pPr>
              <w:pStyle w:val="TableContents"/>
              <w:bidi w:val="0"/>
              <w:spacing w:before="0" w:after="283"/>
              <w:ind w:left="0" w:right="0" w:hanging="245"/>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reserves withheld (used) for Trust expenses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452,634</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(225,557</w:t>
            </w:r>
          </w:p>
        </w:tc>
        <w:tc>
          <w:tcPr>
            <w:tcW w:w="95" w:type="dxa"/>
            <w:tcBorders/>
            <w:shd w:fill="FFFFFF" w:val="clear"/>
            <w:vAlign w:val="center"/>
          </w:tcPr>
          <w:p>
            <w:pPr>
              <w:pStyle w:val="TableContents"/>
              <w:bidi w:val="0"/>
              <w:spacing w:before="0" w:after="283"/>
              <w:ind w:left="0" w:right="0" w:hanging="24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Distributable income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1,419,000</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ind w:left="0" w:right="0" w:hanging="245"/>
              <w:jc w:val="left"/>
              <w:rPr>
                <w:caps w:val="false"/>
                <w:smallCaps w:val="false"/>
              </w:rPr>
            </w:pPr>
            <w:r>
              <w:rPr>
                <w:caps w:val="false"/>
                <w:smallCaps w:val="false"/>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to unitholders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(1,419,000</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net profits interest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(1,374,959</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(1,200,956</w:t>
            </w:r>
          </w:p>
        </w:tc>
        <w:tc>
          <w:tcPr>
            <w:tcW w:w="95" w:type="dxa"/>
            <w:tcBorders/>
            <w:shd w:fill="CCEEFF" w:val="clear"/>
            <w:vAlign w:val="center"/>
          </w:tcPr>
          <w:p>
            <w:pPr>
              <w:pStyle w:val="TableContents"/>
              <w:bidi w:val="0"/>
              <w:spacing w:before="0" w:after="283"/>
              <w:ind w:left="0" w:right="0" w:hanging="24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corpus, end of period</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38,045,707</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42,509,676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45"/>
              <w:jc w:val="left"/>
              <w:rPr/>
            </w:pPr>
            <w:r>
              <w:rPr/>
              <w:t> </w:t>
            </w:r>
          </w:p>
        </w:tc>
      </w:tr>
      <w:tr>
        <w:trPr/>
        <w:tc>
          <w:tcPr>
            <w:tcW w:w="39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per unit (33,000,000 units)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0.043000</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2"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PERMIANVILLE ROYALTY TRUST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20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5030" w:type="dxa"/>
            <w:tcBorders/>
            <w:vAlign w:val="center"/>
          </w:tcPr>
          <w:p>
            <w:pPr>
              <w:pStyle w:val="TableContents"/>
              <w:bidi w:val="0"/>
              <w:spacing w:before="0" w:after="283"/>
              <w:jc w:val="both"/>
              <w:rPr>
                <w:b/>
              </w:rPr>
            </w:pPr>
            <w:r>
              <w:rPr>
                <w:b/>
              </w:rPr>
              <w:t>TRUST ORGANIZATION AND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 (the “Trust”), previously known as Enduro Royalty Trust, is a Delaware statutory trust formed in May 2011 pursuant to a trust agreement (as subsequently amended and restated, the “Trust Agreement”) among Enduro Resource Partners LLC (“Enduro”), as trustor, The Bank of New York Mellon Trust Company, N.A. (the “Trustee”), as trustee, and Wilmington Trust Company (the “Delaware Trustee”), as Delaware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 was created to acquire and hold for the benefit of the Trust unitholders a net profits interest representing the right to receive 80% of the net profits from the sale of oil and natural gas production from certain properties in the states of Texas, Louisiana and New Mexico held by Enduro as of the date of the conveyance of the net profits interest to the Trust (the “Net Profits Interest”). The properties in which the Trust holds the Net Profits Interest are referred to as the “Underlying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the initial public offering in November 2011, Enduro contributed the Net Profits Interest to the Trust in exchange for 33,000,000 units of beneficial interest in the Trust (the “Trust Units”). On August 31, 2018, COERT Holdings 1 LLC (“COERT” or the “Sponsor”) acquired from Enduro the Underlying Properties and all of the outstanding Trust Units owned by Enduro (the “Sale Transaction”). In connection with the Sale Transaction, COERT assumed all of Enduro’s obligations under the Trust Agreement and other instruments to which Enduro and the Trustee were parties. As of March 31, 2026, the Sponsor owned 7,363,961 Trust Units, or 22% of the issued and outstanding Trust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Profits Interest is passive in nature and neither the Trust nor the Trustee has any management control over or responsibility for costs relating to the operation of the Underlying Properties. The Trust Agreement provides, among other provisions,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Trust’s business activities are limited to owning the Net Profits Interest and any activity reasonably related to such ownership, including activities required or permitted by the terms of the Conveyance of Net Profits Interest, dated effective as of July 1, 2011 (as supplemented and amended to date, the “Conveyance”). As a result, the Trust is not permitted to acquire other oil and natural gas properties or net profits interests or otherwise to engage in activities beyond those necessary for the conservation and protection of the Net Profits Interest;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Trust may dispose of all or any material part of the assets of the Trust (including the sale of the Net Profits Interest) if approved by at least 75% of the outstanding Trust Units;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Sponsor may sell a divided or undivided portion of its interests in the Underlying Properties, free from and unburdened by the Net Profits Interest, if approved by at least 50% of the outstanding Trust Units at a meeting of Trust unitholders;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38"/>
        <w:gridCol w:w="10012"/>
      </w:tblGrid>
      <w:tr>
        <w:trPr/>
        <w:tc>
          <w:tcPr>
            <w:tcW w:w="5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Trustee will make monthly cash distributions to unitholders (Note 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31"/>
        <w:gridCol w:w="10022"/>
      </w:tblGrid>
      <w:tr>
        <w:trPr/>
        <w:tc>
          <w:tcPr>
            <w:tcW w:w="5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Trustee may create a cash reserve to pay for future liabilities of the Trust;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Trustee may authorize the Trust to borrow money to pay administrative or incidental expenses of the Trust that exceed its cash on hand and available reserves. No further distributions will be made to Trust unitholders until such amounts borrowed are repaid;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Trust is not subject to any pre-set termination provisions based on a maximum volume of oil or natural gas to be produced or the passage of time; however, the Trust will dissolve upon the earliest to occur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Trust, upon approval of the holders of at least 75% of the outstanding Trust Units, sells the Net Profits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annual cash proceeds received by the Trust attributable to the Net Profits Interest are less than $2 million for each of any two consecutive years;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15"/>
        <w:gridCol w:w="10045"/>
      </w:tblGrid>
      <w:tr>
        <w:trPr/>
        <w:tc>
          <w:tcPr>
            <w:tcW w:w="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holders of at least 75% of the outstanding Trust Units vote in favor of dissolution;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308"/>
        <w:gridCol w:w="9775"/>
      </w:tblGrid>
      <w:tr>
        <w:trPr/>
        <w:tc>
          <w:tcPr>
            <w:tcW w:w="12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Trust is judicially dissolved.</w:t>
            </w:r>
          </w:p>
        </w:tc>
      </w:tr>
    </w:tbl>
    <w:p>
      <w:pPr>
        <w:pStyle w:val="TextBody"/>
        <w:bidi w:val="0"/>
        <w:spacing w:before="0" w:after="0"/>
        <w:ind w:left="0" w:right="0" w:hanging="0"/>
        <w:jc w:val="left"/>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20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2.</w:t>
            </w:r>
          </w:p>
        </w:tc>
        <w:tc>
          <w:tcPr>
            <w:tcW w:w="3125" w:type="dxa"/>
            <w:tcBorders/>
            <w:vAlign w:val="center"/>
          </w:tcPr>
          <w:p>
            <w:pPr>
              <w:pStyle w:val="TableContents"/>
              <w:bidi w:val="0"/>
              <w:spacing w:before="0" w:after="283"/>
              <w:jc w:val="both"/>
              <w:rPr>
                <w:b/>
              </w:rPr>
            </w:pPr>
            <w:r>
              <w:rPr>
                <w:b/>
              </w:rPr>
              <w:t>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 of Assets, Liabilities and Trust Corpus as of December 31, 2025, which has been derived from audited financial statements, and the unaudited interim financial statements as of March 31, 2026 and for the three months ended March 31, 2026 and 2025 have been prepared pursuant to the rules and regulations of the Securities and Exchange Commission (“SEC”). Accordingly, certain information and disclosures normally included in annual financial statements have been condensed or omitted pursuant to those rules and regulations. Therefore, these financial statements should be read in conjunction with the financial statements and notes thereto included in the Trust’s Annual Report on Form 10-K for the fiscal year ended December 31, 2025 (the “2025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the Trustee, the accompanying unaudited financial statements reflect all adjustments, consisting only of normal adjustments that are necessary for a fair presentation of the interim periods presented and include all the disclosures necessary to make the information presented not misleading. These interim results are not necessarily indicative of results for a full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requires the Trustee to make estimates and assumptions that affect reported amounts of assets and liabilities and the reported amounts of revenues and expenses during the reporting period. Although the Trustee believes that these estimates are reasonable,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 uses the modified cash basis of accounting to report Trust receipts of income from the Net Profits Interest and payments of expenses incurred. The Net Profits Interest represents the right to receive revenues (oil and natural gas sales), less direct operating expenses (lease operating expenses and production and property taxes) and development expenses of the Underlying Properties, multiplied by 80%. Cash distributions of the Trust are made based on the amount of cash received by the Trust pursuant to terms of the Conveyance creating the Net Profits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Conveyance, the monthly Net Profits Interest calculation includes oil and natural gas revenues received during the relevant month. Monthly operating expenses and capital expenditures represent estimated incurred expenses and, as a result, represent accrued expenses as well as expenses paid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Trust are prepared on the following basis:</w:t>
      </w:r>
    </w:p>
    <w:p>
      <w:pPr>
        <w:pStyle w:val="TextBody"/>
        <w:bidi w:val="0"/>
        <w:spacing w:before="0" w:after="0"/>
        <w:ind w:left="0" w:right="0" w:hanging="0"/>
        <w:jc w:val="left"/>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38"/>
        <w:gridCol w:w="275"/>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435" w:type="dxa"/>
            <w:tcBorders/>
            <w:vAlign w:val="center"/>
          </w:tcPr>
          <w:p>
            <w:pPr>
              <w:pStyle w:val="TableContents"/>
              <w:bidi w:val="0"/>
              <w:spacing w:before="0" w:after="283"/>
              <w:jc w:val="left"/>
              <w:rPr/>
            </w:pPr>
            <w:r>
              <w:rPr/>
              <w:t>Income from Net Profits Interest is recorded when distributions are received by the Trust;</w:t>
            </w:r>
          </w:p>
        </w:tc>
      </w:tr>
    </w:tbl>
    <w:p>
      <w:pPr>
        <w:pStyle w:val="TextBody"/>
        <w:bidi w:val="0"/>
        <w:spacing w:before="0" w:after="0"/>
        <w:ind w:left="0" w:right="0" w:hanging="0"/>
        <w:jc w:val="left"/>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38"/>
        <w:gridCol w:w="29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6695" w:type="dxa"/>
            <w:tcBorders/>
            <w:vAlign w:val="center"/>
          </w:tcPr>
          <w:p>
            <w:pPr>
              <w:pStyle w:val="TableContents"/>
              <w:bidi w:val="0"/>
              <w:spacing w:before="0" w:after="283"/>
              <w:jc w:val="left"/>
              <w:rPr/>
            </w:pPr>
            <w:r>
              <w:rPr/>
              <w:t>Distributions to Trust unitholders are recorded when paid by the Trust;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(c)</w:t>
            </w:r>
          </w:p>
        </w:tc>
        <w:tc>
          <w:tcPr>
            <w:tcW w:w="9924" w:type="dxa"/>
            <w:tcBorders/>
            <w:vAlign w:val="center"/>
          </w:tcPr>
          <w:p>
            <w:pPr>
              <w:pStyle w:val="TableContents"/>
              <w:bidi w:val="0"/>
              <w:spacing w:before="0" w:after="283"/>
              <w:jc w:val="left"/>
              <w:rPr/>
            </w:pPr>
            <w:r>
              <w:rPr/>
              <w:t>Trust general and administrative expenses (which includes the Trustee’s fees as well as accounting, engineering, legal, and other professional fees) are recorded when paid;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(d)</w:t>
            </w:r>
          </w:p>
        </w:tc>
        <w:tc>
          <w:tcPr>
            <w:tcW w:w="9922" w:type="dxa"/>
            <w:tcBorders/>
            <w:vAlign w:val="center"/>
          </w:tcPr>
          <w:p>
            <w:pPr>
              <w:pStyle w:val="TableContents"/>
              <w:bidi w:val="0"/>
              <w:spacing w:before="0" w:after="283"/>
              <w:jc w:val="left"/>
              <w:rPr/>
            </w:pPr>
            <w:r>
              <w:rPr/>
              <w:t>Cash reserves for Trust expenses may be established by the Trustee for certain future expenditures that would not be recorded as contingent liabilities under accounting principles generally accepted in the United States of America (“GAAP”);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(e)</w:t>
            </w:r>
          </w:p>
        </w:tc>
        <w:tc>
          <w:tcPr>
            <w:tcW w:w="9922" w:type="dxa"/>
            <w:tcBorders/>
            <w:vAlign w:val="center"/>
          </w:tcPr>
          <w:p>
            <w:pPr>
              <w:pStyle w:val="TableContents"/>
              <w:bidi w:val="0"/>
              <w:spacing w:before="0" w:after="283"/>
              <w:jc w:val="left"/>
              <w:rPr/>
            </w:pPr>
            <w:r>
              <w:rPr/>
              <w:t>Amortization of the Net Profits Interest in oil and natural gas properties is calculated on a unit-of-production basis and is charged directly to the Trust corpus;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(f)</w:t>
            </w:r>
          </w:p>
        </w:tc>
        <w:tc>
          <w:tcPr>
            <w:tcW w:w="9986" w:type="dxa"/>
            <w:tcBorders/>
            <w:vAlign w:val="center"/>
          </w:tcPr>
          <w:p>
            <w:pPr>
              <w:pStyle w:val="TableContents"/>
              <w:bidi w:val="0"/>
              <w:spacing w:before="0" w:after="283"/>
              <w:jc w:val="left"/>
              <w:rPr/>
            </w:pPr>
            <w:r>
              <w:rPr/>
              <w:t>The Net Profits Interest in oil and natural gas properties is periodically assessed whenever events or circumstances indicate that the aggregate value may have been impaired below its total capitalized cost based on the Underlying Properties. If an impairment loss is indicated by the carrying amount of the assets exceeding the sum of the undiscounted expected future net cash flows of the Net Profits Interest, then an impairment loss is recognized for the amount by which the carrying amount of the asset exceeds its estimated fair value determined using discounted cash flows. Any impairment is a direct charge to the Trust Corpus.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Trust differ from financial statements prepared in accordance with GAAP because revenues are not accrued; certain cash reserves may be established for contingencies which would not be accrued in financial statements prepared in accordance with GAAP; general and administrative expenses are recorded when paid instead of when incurred; amortization of the net profits interest calculated on a unit-of-production basis is charged directly to Trust Corpus instead of as an expense; the Trust does not record a liability or repay any overpayment received as these will be deducted from future payments; and impairment is charged directly to the Trust Corpus. While these statements differ from financial statements prepared in accordance with GAAP, the modified cash basis of reporting is considered to be the most meaningful because monthly distributions to the Trust unitholders are based on net cash receipts.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comprehensive basis of accounting other than GAAP corresponds to the accounting permitted for royalty trusts by the SEC as specified by Staff Accounting Bulletin Topic 12:E, </w:t>
      </w:r>
      <w:r>
        <w:rPr>
          <w:rFonts w:ascii="Times New Roman;Times;Serif" w:hAnsi="Times New Roman;Times;Serif"/>
          <w:b w:val="false"/>
          <w:i/>
          <w:caps w:val="false"/>
          <w:smallCaps w:val="false"/>
          <w:sz w:val="20"/>
        </w:rPr>
        <w:t>Financial Statements of Royalty Trusts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38"/>
        <w:gridCol w:w="20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3.</w:t>
            </w:r>
          </w:p>
        </w:tc>
        <w:tc>
          <w:tcPr>
            <w:tcW w:w="7850" w:type="dxa"/>
            <w:tcBorders/>
            <w:vAlign w:val="center"/>
          </w:tcPr>
          <w:p>
            <w:pPr>
              <w:pStyle w:val="TableContents"/>
              <w:bidi w:val="0"/>
              <w:spacing w:before="0" w:after="283"/>
              <w:jc w:val="both"/>
              <w:rPr>
                <w:b/>
              </w:rPr>
            </w:pPr>
            <w:r>
              <w:rPr>
                <w:b/>
              </w:rPr>
              <w:t>NET PROFITS INTEREST IN OIL AND NATURAL GAS PROPERTIES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Profits Interest in oil and natural gas properties was recorded at its fair value on the date of conveyance. Amortization of the Net Profits Interest in oil and natural gas properties is calculated on a unit-of-production basis based on the Underlying Properties’ production and reserves. The reserves upon which the amortization rate is based are quantity estimates that are subject to numerous uncertainties inherent in the estimation of proved reserves. The volumes considered to be commercially recoverable fluctuate with changes in commodity prices and operating costs. These estimates are expected to change as additional information becomes available in the future. Downward revisions in proved reserves may result in an increased rate of amortization. Amortization is charged directly to the Trust corpus balance and does not affect the distributable income of the Trust. Accumulated amortization as of March 31, 2026 and December 31, 2025 was $318,068,024 and $316,693,065,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Profits Interest is periodically assessed for impairment whenever events or circumstances indicate that the current fair value based on expected future cash flows of the Underlying Properties may be less than the carrying value of the Net Profits Interest. While the Trust did not record an impairment during the three months ended March 31, 2026 or 2025, future downward revisions in actual production volumes relative to current forecasts, higher than expected operating costs, or lower than anticipated commodity prices could result in recognition of impairment in future periods.</w:t>
      </w:r>
    </w:p>
    <w:p>
      <w:pPr>
        <w:pStyle w:val="TextBody"/>
        <w:bidi w:val="0"/>
        <w:spacing w:before="0" w:after="0"/>
        <w:ind w:left="0" w:right="0" w:hanging="0"/>
        <w:jc w:val="left"/>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200"/>
        <w:gridCol w:w="19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4.</w:t>
            </w:r>
          </w:p>
        </w:tc>
        <w:tc>
          <w:tcPr>
            <w:tcW w:w="1940" w:type="dxa"/>
            <w:tcBorders/>
            <w:vAlign w:val="center"/>
          </w:tcPr>
          <w:p>
            <w:pPr>
              <w:pStyle w:val="TableContents"/>
              <w:bidi w:val="0"/>
              <w:spacing w:before="0" w:after="283"/>
              <w:jc w:val="both"/>
              <w:rPr>
                <w:b/>
              </w:rPr>
            </w:pPr>
            <w:r>
              <w:rPr>
                <w:b/>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Federal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federal income tax purposes, the Trust is a grantor trust and therefore is not subject to tax at the trust level. Trust unitholders are treated as owning a direct interest in the assets of the Trust, and each Trust unitholder is taxed directly on his or her pro rata share of the income and gain attributable to the assets of the Trust and entitled to claim his or her pro rata share of the deductions and expenses attributable to the assets of the Trust. The income of the Trust is deemed to have been received or accrued by each unitholder at the time such income is received or accrued by the Trust rather than when distributed by the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deductions of the Trust consist of severance taxes and administrative expenses. In addition, each unitholder is entitled to depletion deductions because the Net Profits Interest constitutes “economic interests” in oil and natural gas properties for federal income tax purposes. Each unitholder is entitled to amortize the cost of the Trust Units through cost depletion over the life of the Net Profits Interest or, if greater, through percentage depletion. Unlike cost depletion, percentage depletion is not limited to a unitholder’s depletable tax basis in the Trust Units. Rather, a unitholder could be entitled to percentage depletion as long as the applicable Underlying Properties generate gross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Trust Units are held by a middleman, as such term is broadly defined in U.S. Treasury Regulations (and includes custodians, nominees, certain joint owners, and brokers holding an interest for a custodian in street name). Therefore, the Trustee considers the Trust to be a non-mortgage widely held fixed investment trust (“WHFIT”) for U.S. federal income tax purposes. The Bank of New York Mellon Trust Company, N.A., 601 Travis, 16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Houston, Texas 77002, telephone number (512) 236-6545, is the representative of the Trust that will provide tax information in accordance with applicable U.S. Treasury Regulations governing the information reporting requirements of the Trust as a WHFIT. Tax information is also posted by the Trustee at </w:t>
      </w:r>
      <w:r>
        <w:rPr>
          <w:rFonts w:ascii="Times New Roman;Times;Serif" w:hAnsi="Times New Roman;Times;Serif"/>
          <w:b w:val="false"/>
          <w:i/>
          <w:caps w:val="false"/>
          <w:smallCaps w:val="false"/>
          <w:sz w:val="20"/>
        </w:rPr>
        <w:t>www.permianvilleroyaltytrust.com</w:t>
      </w:r>
      <w:r>
        <w:rPr>
          <w:rFonts w:ascii="Times New Roman;Times;Serif" w:hAnsi="Times New Roman;Times;Serif"/>
          <w:b w:val="false"/>
          <w:i w:val="false"/>
          <w:caps w:val="false"/>
          <w:smallCaps w:val="false"/>
          <w:sz w:val="20"/>
        </w:rPr>
        <w:t>. Notwithstanding the foregoing, the middlemen holding units on behalf of unitholders, and not the Trustee of the Trust, are solely responsible for complying with the information reporting requirements under the U.S. Treasury Regulations with respect to such units, including the issuance of IRS Forms 1099 and certain written tax statements. Unitholders whose units are held by middlemen should consult with such middlemen regarding the information that will be reported to them by the middlemen with respect to the Trust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to a unitholder of ownership of Trust Units will depend in part on the unitholder’s tax circumstances. Unitholders should consult their tax advisors about the federal tax consequences relating to owning the Trust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State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Trust’s revenues are from sources in the states of Louisiana, New Mexico, and Texas. Because it distributes all of its net income to unitholders, the Trust is not taxed at the trust level in Louisiana or New Mexico. Although the Trust does not owe tax, the Trustee is required to file a return with Louisiana reflecting the income and deductions of the Trust attributable to properties located in that state. Presently, Louisiana and New Mexico tax nonresident income from real property located within that state. Louisiana and New Mexico impose a corporate income tax which may apply to unitholders organized as corporations.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Texas does not impose a state income tax, so the Trust’s income is not subject to income tax at the trust level in Texas. Texas imposes a franchise tax at a rate of 0.75% on gross revenues less certain deductions for returns originally due on or after January 1, 2016, as specifically set forth in the Texas franchise tax statutes. Entities subject to tax generally include trusts unless otherwise exempt. Trusts that receive at least 90% of their federal gross income from designated passive sources, including royalties from mineral properties and other income from other non-operating mineral interests, and do not receive more than 10% of their income from operating an active trade or business, generally are exempt from the Texas franchise tax as “passive entities.” Although the Trust is intended to be exempt from Texas franchise tax at the trust level as a passive entity, each unitholder that is considered a taxable entity under the Texas franchise tax would generally be required to include its portion of Trust net income in its own Texas franchise tax computation.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unitholder should consult his or her own tax advisor regarding state tax requirements, if any, applicable to such person’s ownership of Trust Units.</w:t>
      </w:r>
    </w:p>
    <w:p>
      <w:pPr>
        <w:pStyle w:val="TextBody"/>
        <w:bidi w:val="0"/>
        <w:spacing w:before="0" w:after="0"/>
        <w:ind w:left="0" w:right="0" w:hanging="0"/>
        <w:jc w:val="left"/>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20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5.</w:t>
            </w:r>
          </w:p>
        </w:tc>
        <w:tc>
          <w:tcPr>
            <w:tcW w:w="4235" w:type="dxa"/>
            <w:tcBorders/>
            <w:vAlign w:val="center"/>
          </w:tcPr>
          <w:p>
            <w:pPr>
              <w:pStyle w:val="TableContents"/>
              <w:bidi w:val="0"/>
              <w:spacing w:before="0" w:after="283"/>
              <w:jc w:val="both"/>
              <w:rPr>
                <w:b/>
              </w:rPr>
            </w:pPr>
            <w:r>
              <w:rPr>
                <w:b/>
              </w:rPr>
              <w:t>DISTRIBUTIONS TO UNITHOLDERS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month, the Trustee determines the amount of funds available for distribution to the Trust unitholders. Available funds are the excess cash, if any, received by the Trust from the Net Profits Interest and other sources (such as interest earned on any amounts reserved by the Trustee) that month, over the Trust’s liabilities for that month, subject to adjustments for changes made by the Trustee during the month in any cash reserves established for future liabilities of the Trust. No distributions will be made to Trust unitholders until the indebtedness created by such amounts drawn or borrowed as advances to the Trust have been repaid in full. Distributions are made to the holders of Trust Units as of the applicable record date (generally the last business day of each calendar month) and are payable on or before the 10th business day after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the Trust’s distributions per unit paid during the periods indicated:</w:t>
      </w:r>
    </w:p>
    <w:p>
      <w:pPr>
        <w:pStyle w:val="TextBody"/>
        <w:bidi w:val="0"/>
        <w:spacing w:before="0" w:after="0"/>
        <w:ind w:left="0" w:right="0" w:hanging="0"/>
        <w:jc w:val="left"/>
        <w:rPr>
          <w:caps w:val="false"/>
          <w:smallCaps w:val="false"/>
        </w:rPr>
      </w:pPr>
      <w:r>
        <w:rPr>
          <w:caps w:val="false"/>
          <w:smallCaps w:val="false"/>
        </w:rPr>
        <w:t> </w:t>
      </w:r>
    </w:p>
    <w:tbl>
      <w:tblPr>
        <w:tblW w:w="7640" w:type="dxa"/>
        <w:jc w:val="left"/>
        <w:tblInd w:w="0" w:type="dxa"/>
        <w:tblLayout w:type="fixed"/>
        <w:tblCellMar>
          <w:top w:w="0" w:type="dxa"/>
          <w:left w:w="0" w:type="dxa"/>
          <w:bottom w:w="0" w:type="dxa"/>
          <w:right w:w="0" w:type="dxa"/>
        </w:tblCellMar>
      </w:tblPr>
      <w:tblGrid>
        <w:gridCol w:w="3245"/>
        <w:gridCol w:w="60"/>
        <w:gridCol w:w="1595"/>
        <w:gridCol w:w="60"/>
        <w:gridCol w:w="1505"/>
        <w:gridCol w:w="60"/>
        <w:gridCol w:w="140"/>
        <w:gridCol w:w="900"/>
        <w:gridCol w:w="75"/>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Declaration Date</w:t>
            </w:r>
          </w:p>
        </w:tc>
        <w:tc>
          <w:tcPr>
            <w:tcW w:w="60" w:type="dxa"/>
            <w:tcBorders/>
            <w:vAlign w:val="center"/>
          </w:tcPr>
          <w:p>
            <w:pPr>
              <w:pStyle w:val="TableContents"/>
              <w:bidi w:val="0"/>
              <w:spacing w:before="0" w:after="283"/>
              <w:jc w:val="left"/>
              <w:rPr/>
            </w:pPr>
            <w:r>
              <w:rPr/>
              <w:t> </w:t>
            </w:r>
          </w:p>
        </w:tc>
        <w:tc>
          <w:tcPr>
            <w:tcW w:w="159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Record Date</w:t>
            </w:r>
          </w:p>
        </w:tc>
        <w:tc>
          <w:tcPr>
            <w:tcW w:w="60" w:type="dxa"/>
            <w:tcBorders/>
            <w:vAlign w:val="center"/>
          </w:tcPr>
          <w:p>
            <w:pPr>
              <w:pStyle w:val="TableContents"/>
              <w:bidi w:val="0"/>
              <w:spacing w:before="0" w:after="283"/>
              <w:jc w:val="left"/>
              <w:rPr/>
            </w:pPr>
            <w:r>
              <w:rPr/>
              <w:t> </w:t>
            </w:r>
          </w:p>
        </w:tc>
        <w:tc>
          <w:tcPr>
            <w:tcW w:w="150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Payment Date</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per Unit</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19,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15,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0.023000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13,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0.015000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18,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March 2,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13,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0.005000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to Date – 2026</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0.043000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2025:</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to Date – 2025</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direct operating and development expenses exceeded cash receipts, leading to a Net Profits Interest shortfall of approximately $1.4 million as of March 31, 2025, which was carried forward to be deducted from future net profits generated by the Underlying Properties. As a result, there were no net profits reported or distributed in the first three months of 2025.</w:t>
      </w:r>
    </w:p>
    <w:p>
      <w:pPr>
        <w:pStyle w:val="TextBody"/>
        <w:bidi w:val="0"/>
        <w:spacing w:before="0" w:after="0"/>
        <w:ind w:left="0" w:right="0" w:hanging="0"/>
        <w:jc w:val="left"/>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20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6.</w:t>
            </w:r>
          </w:p>
        </w:tc>
        <w:tc>
          <w:tcPr>
            <w:tcW w:w="1865" w:type="dxa"/>
            <w:tcBorders/>
            <w:vAlign w:val="center"/>
          </w:tcPr>
          <w:p>
            <w:pPr>
              <w:pStyle w:val="TableContents"/>
              <w:bidi w:val="0"/>
              <w:spacing w:before="0" w:after="283"/>
              <w:jc w:val="both"/>
              <w:rPr>
                <w:b/>
              </w:rPr>
            </w:pPr>
            <w:r>
              <w:rPr>
                <w:b/>
              </w:rPr>
              <w:t>TRUSTEE FEES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Trust Agreement, the Trust pays an administrative fee of $200,000 per year to the Trustee and an annual fee of $2,000 to the Delaware Trustee. During each of the three-month periods ended March 31, 2026 and 2025, the Trust paid $50,000 to the Trustee and $2,010 to the Delaware Trustee pursuant to the terms of the Trust Agreement.</w:t>
      </w:r>
    </w:p>
    <w:p>
      <w:pPr>
        <w:pStyle w:val="TextBody"/>
        <w:bidi w:val="0"/>
        <w:spacing w:before="0" w:after="0"/>
        <w:ind w:left="0" w:right="0" w:hanging="0"/>
        <w:jc w:val="left"/>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20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7.</w:t>
            </w:r>
          </w:p>
        </w:tc>
        <w:tc>
          <w:tcPr>
            <w:tcW w:w="2735" w:type="dxa"/>
            <w:tcBorders/>
            <w:vAlign w:val="center"/>
          </w:tcPr>
          <w:p>
            <w:pPr>
              <w:pStyle w:val="TableContents"/>
              <w:bidi w:val="0"/>
              <w:spacing w:before="0" w:after="283"/>
              <w:jc w:val="both"/>
              <w:rPr>
                <w:b/>
              </w:rPr>
            </w:pPr>
            <w:r>
              <w:rPr>
                <w:b/>
              </w:rPr>
              <w:t>SUBSEQUENT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 Paid or Declared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2026, a distribution of $0.010000 per unit, which was declared on March 16, 2026, was paid to Trust unitholders of record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2026, the Trust declared a distribution of $0.010000 per unit to unitholders of record as of April 30, 2026. The distribution is expected to be paid to unitholders on 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108" w:type="dxa"/>
        <w:jc w:val="left"/>
        <w:tblInd w:w="0" w:type="dxa"/>
        <w:tblLayout w:type="fixed"/>
        <w:tblCellMar>
          <w:top w:w="0" w:type="dxa"/>
          <w:left w:w="0" w:type="dxa"/>
          <w:bottom w:w="0" w:type="dxa"/>
          <w:right w:w="0" w:type="dxa"/>
        </w:tblCellMar>
      </w:tblPr>
      <w:tblGrid>
        <w:gridCol w:w="38"/>
        <w:gridCol w:w="725"/>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b/>
              </w:rPr>
            </w:pPr>
            <w:r>
              <w:rPr>
                <w:b/>
              </w:rPr>
              <w:t>Item 2.</w:t>
            </w:r>
          </w:p>
        </w:tc>
        <w:tc>
          <w:tcPr>
            <w:tcW w:w="8345" w:type="dxa"/>
            <w:tcBorders/>
            <w:vAlign w:val="center"/>
          </w:tcPr>
          <w:p>
            <w:pPr>
              <w:pStyle w:val="TableContents"/>
              <w:bidi w:val="0"/>
              <w:spacing w:before="0" w:after="283"/>
              <w:jc w:val="left"/>
              <w:rPr>
                <w:b/>
                <w:i/>
              </w:rPr>
            </w:pPr>
            <w:r>
              <w:rPr>
                <w:b/>
                <w:i/>
              </w:rPr>
              <w:t>Trustee’s Discussion and Analysis of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References to the “Trust” in this document refer to Permianville Royalty Trust, previously known as Enduro Royalty Trust, while references to “COERT” or the “Sponsor” in this document refer to COERT Holdings 1 LLC. References to “Enduro” in this document refer to Enduro Resource Partners LLC, the original sponsor of the Trust. The following review of the Trust’s financial condition and results of operations should be read in conjunction with the financial statements and notes thereto, as well as Management’s Discussion and Analysis of Financial Condition and Results of Operations contained in the Trust’s Annual Report on Form 10-K for the year ended December 31, 2025 (the “2025 Annual Report on Form 10-K”). The Trust’s annual reports on Form 10-K, quarterly reports on Form 10-Q, current reports on Form 8-K and all other filings with the SEC are available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(this “Form 10-Q”) includes “forward-looking statements” within the meaning of Section 27A of the Securities Act of 1933, as amended, and Section 21E of the Securities Exchange Act of 1934, as amended. All statements other than statements of historical fact included in this Form 10-Q, including without limitation the statements under this “Trustee’s Discussion and Analysis of Financial Condition and Results of Operations,” are forward-looking statements. Such statements may be influenced by factors that could cause actual outcomes and results to differ materially from those projected. Such expectations may not prove to have been correct. When used in this document, the words “will,” “plans,” “believes,” “expects,” “anticipates,” “intends” or similar expressions are intended to identify such forward-looking statements. The following important factors, in addition to those discussed elsewhere in this Form 10-Q, in the Trust’s 2025 Annual Report on Form 10-K and the Trust’s other filings with the SEC could affect the future results of the energy industry in general, and COERT and the Trust in particular, and could cause actual results to differ materially from those expressed in such forward-looking statements: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35"/>
        <w:gridCol w:w="10017"/>
      </w:tblGrid>
      <w:tr>
        <w:trPr/>
        <w:tc>
          <w:tcPr>
            <w:tcW w:w="5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risks associated with the drilling and operation of oil and natural gas wells;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35"/>
        <w:gridCol w:w="10017"/>
      </w:tblGrid>
      <w:tr>
        <w:trPr/>
        <w:tc>
          <w:tcPr>
            <w:tcW w:w="5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amount of future direct operating expenses and development expenses;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occurrence or threat of epidemic or pandemic diseases or other public health event or any government response to such occurrence or threat;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impact of geopolitical developments and tensions, war and uncertainty involving or in the geographical region of oil producing countries (including the ongoing wars in Ukraine and the Persian Gulf and any related political or economic responses and counter-responses or otherwise by various global actors or the general effect on the global economy);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global economic conditions, such as a general slowdown in the global economy, trade barriers and tariffs, supply chain disruptions, inflationary pressures, currency fluctuations, changes in interest rates, and instability of financial institutions;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effects of actions by, or disputes among or between members of the Organization of Petroleum Exporting Countries (“OPEC”) and other oil-exporting nations with respect to production levels or other matters related to the prices of oil and natural gas;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167"/>
        <w:gridCol w:w="9972"/>
      </w:tblGrid>
      <w:tr>
        <w:trPr/>
        <w:tc>
          <w:tcPr>
            <w:tcW w:w="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effect of existing and future laws and regulatory 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150"/>
        <w:gridCol w:w="9996"/>
      </w:tblGrid>
      <w:tr>
        <w:trPr/>
        <w:tc>
          <w:tcPr>
            <w:tcW w:w="5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effect of changes in commodity prices or alternative fuel prices;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prohibition on the Trust’s entry into any new hedging arrangements under the terms of the Conveyance;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298"/>
        <w:gridCol w:w="9789"/>
      </w:tblGrid>
      <w:tr>
        <w:trPr/>
        <w:tc>
          <w:tcPr>
            <w:tcW w:w="11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conditions in the capital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211"/>
        <w:gridCol w:w="9910"/>
      </w:tblGrid>
      <w:tr>
        <w:trPr/>
        <w:tc>
          <w:tcPr>
            <w:tcW w:w="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competition from others in the energy industry;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43"/>
        <w:gridCol w:w="10006"/>
      </w:tblGrid>
      <w:tr>
        <w:trPr/>
        <w:tc>
          <w:tcPr>
            <w:tcW w:w="5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uncertainty of estimates of oil and natural gas reserves and production;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potential impacts on the Sponsor’s business resulting from climate change, greenhouse gas regulations, and the impact of climate change related changes in the frequency and severity of weather patterns;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risks described under the caption “Risk Factors” in Part I, Item 1A of the 2025 Annual Report on Form 10-K.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these forward-looking statements. All forward-looking statements speak only as of the date of this Form 10-Q. The Trust does not undertake any obligation to release publicly any revisions to the forward-looking statements to reflect events or circumstances after the date of this Form 10-Q or to reflect the occurrence of unanticipated events, unless the securities laws require the Trust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10-Q describes other important factors that could cause actual results to differ materially from expectations of the Sponsor and the Trust. Initial production rates may not be indicative of future production rates and are not indicative of the amounts of oil and gas that a well may produce. All forward-looking statements in this report and all subsequent written and oral forward-looking statements attributable to the Sponsor or the Trust or persons acting on behalf of the Sponsor or the Trust are expressly qualified in their entirety by such factors. The Trust assumes no obligation, and disclaims any duty, to update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Permianville Royalty Trust, a statutory trust created in May 2011, completed its initial public offering in November 2011. The Trust’s only asset and source of income is the net profits interest representing the right to receive 80% of the net profits from the sale of oil and natural gas production from certain properties in the states of Texas, Louisiana and New Mexico held by Enduro as of the date of the conveyance of the net profits interest to the Trust (the “Net Profits Interest”). The properties in which the Trust holds the Net Profits Interest are referred to as the “Underlying Properties.” The Net Profits Interest is passive in nature and neither the Trust nor the Trustee has any management control over or responsibility for costs relating to the operation of the Underlying Properties. Additionally, third parties operate substantially all of the wells on the Underlying Properties and, therefore, the Sponsor is not in a position to control the timing of development efforts, associated costs, or the rate of production of the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2018, COERT completed the acquisition from Enduro of the Underlying Properties and all of the outstanding Trust Units owned by Enduro (the “Sale Transaction”). In connection with the Sale Transaction, COERT assumed all of Enduro’s obligations under the Amended and Restated Trust Agreement of the Trust (the “Trust Agreement”) and other instruments to which Enduro and the Trustee were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 is required to make monthly cash distributions of substantially all of its monthly cash receipts, after deducting the Trust’s administrative expenses, to the holders of Trust Units as of the applicable record date (generally the last business day of each calendar month) on or before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after the record date. The Net Profits Interest is entitled to a share of the profits from and after July 1, 2011 attributable to production occurring on or after June 1, 2011. The amount of Trust revenues and cash distributions to Trust unitholders depends on, among other things: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315"/>
        <w:gridCol w:w="9765"/>
      </w:tblGrid>
      <w:tr>
        <w:trPr/>
        <w:tc>
          <w:tcPr>
            <w:tcW w:w="12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oil and natural gas sales prices;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11"/>
        <w:gridCol w:w="10050"/>
      </w:tblGrid>
      <w:tr>
        <w:trPr/>
        <w:tc>
          <w:tcPr>
            <w:tcW w:w="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volumes of oil and natural gas produced and sold attributable to the Underlying Properties;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281"/>
        <w:gridCol w:w="9812"/>
      </w:tblGrid>
      <w:tr>
        <w:trPr/>
        <w:tc>
          <w:tcPr>
            <w:tcW w:w="11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production and development costs;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520"/>
        <w:gridCol w:w="9477"/>
      </w:tblGrid>
      <w:tr>
        <w:trPr/>
        <w:tc>
          <w:tcPr>
            <w:tcW w:w="20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4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price differentials;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200"/>
        <w:gridCol w:w="9926"/>
      </w:tblGrid>
      <w:tr>
        <w:trPr/>
        <w:tc>
          <w:tcPr>
            <w:tcW w:w="7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potential reductions or suspensions of production;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165"/>
        <w:gridCol w:w="9974"/>
      </w:tblGrid>
      <w:tr>
        <w:trPr/>
        <w:tc>
          <w:tcPr>
            <w:tcW w:w="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amount and timing of Trust administrative expenses;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establishment, increase, or decrease of reserves for approved development expenses or future liabilities of the Trust.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Sponsor receives cash payment for oil production 30 to 60 days after it is produced and for natural gas production 60 to 90 days after it is produced.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has indicated to the Trustee that although development activity on the Underlying Properties through the first three months of 2026 decreased over 50% compared to the same period in 2025, the current level of in-progress drilling not yet billed to the Underlying Properties suggests that the forward outlook and indicated activity from operators appears to be improving. The Sponsor believes that the activity outlook for the remainder of the year will likely be weighted towards natural gas drilling in the Haynesville, similar to last year, as seen in the approximately 48% increase in natural gas production for the Underlying Properties for the first three months of 2026 compared to the same period in 2025. Given the indicated activity outlook from the super major oil and gas operator of the Underlying Properties responsible for much of the recent Haynesville activity, the Sponsor has maintained a cash reserve for near-term capital expenditures, consistent with prior periods in which material future capital expenditure obligations have been expected. As of March 31, 2026, the cash reserve balance was $0.9 million. At the beginning of the year, based on publicly announced budgets from various operators of the Underlying Properties, oil-weighted capital expenditures were expected to decrease year-over-year. However, based on more recent public announcements, prior estimated capital expenditures could increase but remain subject to substantial volatility given current macro events. As in prior periods, future capital expenditure expectations remain subject to revision from the operators of the Underlying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believes that the outlook for the oil and gas industry has improved compared to early second quarter of 2025, as recent macro events such as the Persian Gulf conflict have increased commodity price forecasts and emphasized the importance of North American-based oil and gas operations. Since the start of the year, oil prices have ranged from a low of $56 per Bbl to as high as $113 per Bbl, while natural gas prices have also experienced volatility, ranging from a low of $2.52 per MMBtu to a high of $7.46 per MMBtu over the same period. Although natural gas prices at the end of the first quarter of 2026 were lower than at the end of the first quarter of 2025, industry analysts continue to forecast increasing demand from the buildout of datacenters and the AI ecosystem that are expected to require both renewable energy sources and natural gas-powered electricity generation. Meanwhile, the Sponsor continues to believe that consolidation within the oil and gas sector could lead to lower operating costs given economies of scale, but could also lead to more binary swings in capital spending, as more assets and capital budgets are set by fewer operators than in years past.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this volatility, given the pace of capital expenditures during the first three months of 2026, the Sponsor is reaffirming its 2026 capital spending outlook of $9.0 million to $15.0 million, or $7.2 million to $12.0 million net to the Trust’s Net Profits Interest, but currently expects those expenditures to trend toward the higher end of the range given current expectations and guidance from the operators of the Underlying Properties. The Sponsor expects a majority of the remaining anticipated capital expenditures in 2026 to be focused on the Haynesville area, given known projects currently in process. The Sponsor believes that any further increases to the expected capital expenditure budget likely would come from oil-weighted projects by operators in the Permian region adding near-term activity in response to the recent oil price increases driven by the ongoing Persian Gulf conflict. As in prior periods, however, the outlook for capital expenditures remains subject to change, as operators are expected to continue to reevaluate their planned capital expenditures, particularly given volatile capital markets and an uncertain geopolitical situation.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first three months of 2026, the Sponsor continued to see a reduction in operating costs on a per unit basis for the Underlying Properties compared to prior periods, due in part to the higher total production for the first quarter of 2026 compared to the same period last year. The Sponsor indicates that this increase in production has come predominately from natural gas production growth in the Haynesville region, which generally features lower operating costs compared to legacy production areas within the Underlying Properties. The Sponsor expects this trend to continue given the near-term outlook for natural-gas-weighted capital expenditure activity. According to the Sponsor, this decline in operating costs per unit has been partially offset by ongoing operational issues and cost overruns at some of the legacy, marginal oil-weighted assets on the Underlying Properties, which the Sponsor indicates it is continuing to proactively address through joint interest billing audits among other avenues afforded to non-operating working interest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Although the commodity markets remain volatile, and there remains an inherent delay in cash flows given the non-operated nature of the Underlying Properties, the Sponsor indicates that it continues to have access to adequate capital and liquidity to fund such operating and capital expenditures as they come due. </w:t>
      </w:r>
      <w:r>
        <w:rPr>
          <w:rFonts w:ascii="Times New Roman;Times;Serif" w:hAnsi="Times New Roman;Times;Serif"/>
          <w:b w:val="false"/>
          <w:i w:val="false"/>
          <w:caps w:val="false"/>
          <w:smallCaps w:val="false"/>
          <w:sz w:val="20"/>
        </w:rPr>
        <w:t>Furthermore, the Sponsor believes additional opportunities could arise in the coming quarters for potential divestitures and/or leasing of some or all of the Underlying Properties, subject to the Trust’s Net Profits Interest, as certain operators of the Underlying Properties may look to acquire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Capex Drilling Activity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Presented below is a summary of the current status of certain notable capital projects recently undertaken on the Underlying Properties pursuant to the capital expenditure program described above. All information has been provided by the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is not intended to be a comprehensive list reflecting all capital expenditures to date. In addition, there can often be a several-month delay from the time of capital expenditures to the time of production and cash flows attributable to the Underlying Properties, especially given the non-operated nature of the Underlying Properties.</w:t>
      </w:r>
    </w:p>
    <w:p>
      <w:pPr>
        <w:pStyle w:val="TextBody"/>
        <w:bidi w:val="0"/>
        <w:spacing w:before="0" w:after="0"/>
        <w:ind w:left="0" w:right="0" w:hanging="0"/>
        <w:jc w:val="left"/>
        <w:rPr>
          <w:caps w:val="false"/>
          <w:smallCaps w:val="false"/>
        </w:rPr>
      </w:pPr>
      <w:r>
        <w:rPr>
          <w:caps w:val="false"/>
          <w:smallCaps w:val="false"/>
        </w:rPr>
        <w:t> </w:t>
      </w:r>
    </w:p>
    <w:tbl>
      <w:tblPr>
        <w:tblW w:w="10010" w:type="dxa"/>
        <w:jc w:val="left"/>
        <w:tblInd w:w="0" w:type="dxa"/>
        <w:tblLayout w:type="fixed"/>
        <w:tblCellMar>
          <w:top w:w="0" w:type="dxa"/>
          <w:left w:w="0" w:type="dxa"/>
          <w:bottom w:w="28" w:type="dxa"/>
          <w:right w:w="0" w:type="dxa"/>
        </w:tblCellMar>
      </w:tblPr>
      <w:tblGrid>
        <w:gridCol w:w="1700"/>
        <w:gridCol w:w="60"/>
        <w:gridCol w:w="995"/>
        <w:gridCol w:w="60"/>
        <w:gridCol w:w="710"/>
        <w:gridCol w:w="60"/>
        <w:gridCol w:w="1025"/>
        <w:gridCol w:w="60"/>
        <w:gridCol w:w="1340"/>
        <w:gridCol w:w="60"/>
        <w:gridCol w:w="1055"/>
        <w:gridCol w:w="60"/>
        <w:gridCol w:w="2825"/>
      </w:tblGrid>
      <w:tr>
        <w:trPr/>
        <w:tc>
          <w:tcPr>
            <w:tcW w:w="17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br/>
              <w:t>of Wells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Underlying </w:t>
              <w:br/>
              <w:t>Properties</w:t>
              <w:br/>
              <w:t>Working</w:t>
              <w:br/>
              <w:t>Interest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Project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Capex </w:t>
              <w:br/>
              <w:t xml:space="preserve">Cumulative </w:t>
              <w:br/>
              <w:t>Total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w:t>
            </w:r>
          </w:p>
        </w:tc>
      </w:tr>
      <w:tr>
        <w:trPr/>
        <w:tc>
          <w:tcPr>
            <w:tcW w:w="17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Cap E&amp;P 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D&amp;C New Drills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Pre Drills</w:t>
            </w:r>
          </w:p>
        </w:tc>
      </w:tr>
      <w:tr>
        <w:trPr/>
        <w:tc>
          <w:tcPr>
            <w:tcW w:w="17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Cap E&amp;P 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Midland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D&amp;C New Drills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$460,237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Drilling in Process</w:t>
            </w:r>
          </w:p>
        </w:tc>
      </w:tr>
      <w:tr>
        <w:trPr/>
        <w:tc>
          <w:tcPr>
            <w:tcW w:w="17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Cap E&amp;P 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D&amp;C New Drills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Pre Drills</w:t>
            </w:r>
          </w:p>
        </w:tc>
      </w:tr>
      <w:tr>
        <w:trPr/>
        <w:tc>
          <w:tcPr>
            <w:tcW w:w="17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Cap E&amp;P 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D&amp;C New Drills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 Drills</w:t>
            </w:r>
          </w:p>
        </w:tc>
      </w:tr>
      <w:tr>
        <w:trPr/>
        <w:tc>
          <w:tcPr>
            <w:tcW w:w="17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Super Major 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Haynesville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D&amp;C New Drills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$3,181,894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Drilling in Process</w:t>
            </w:r>
          </w:p>
        </w:tc>
      </w:tr>
      <w:tr>
        <w:trPr/>
        <w:tc>
          <w:tcPr>
            <w:tcW w:w="17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PE-Backed Private 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D&amp;C New Drills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$703,816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Producing awaiting first revenue</w:t>
            </w:r>
          </w:p>
        </w:tc>
      </w:tr>
      <w:tr>
        <w:trPr/>
        <w:tc>
          <w:tcPr>
            <w:tcW w:w="17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PE-Backed Private 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D&amp;C New Drills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$479,873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Drilling in Process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projects identified above are still in process or awaiting first revenues, and the Sponsor expects a majority of those projects to be completed and to begin producing during the second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Three Months Ended March 31, 2026 Compared to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Trust’s net profits income consists of monthly net profits attributable to the Net Profits Interest, which was determined as shown in the following table: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72"/>
        <w:gridCol w:w="60"/>
        <w:gridCol w:w="125"/>
        <w:gridCol w:w="950"/>
        <w:gridCol w:w="185"/>
        <w:gridCol w:w="60"/>
        <w:gridCol w:w="125"/>
        <w:gridCol w:w="950"/>
        <w:gridCol w:w="185"/>
        <w:gridCol w:w="60"/>
        <w:gridCol w:w="888"/>
        <w:gridCol w:w="245"/>
      </w:tblGrid>
      <w:tr>
        <w:trPr/>
        <w:tc>
          <w:tcPr>
            <w:tcW w:w="6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 March 31,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63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w:t>
              <w:br/>
              <w:t>(Decrease)</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6,218,262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8,530,705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gas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4,828,871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2,041,676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11,047,133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10,572,381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6372" w:type="dxa"/>
            <w:tcBorders/>
            <w:shd w:fill="FFFFFF" w:val="clear"/>
            <w:vAlign w:val="center"/>
          </w:tcPr>
          <w:p>
            <w:pPr>
              <w:pStyle w:val="TableContents"/>
              <w:bidi w:val="0"/>
              <w:spacing w:before="0" w:after="283"/>
              <w:jc w:val="left"/>
              <w:rPr>
                <w:sz w:val="20"/>
              </w:rPr>
            </w:pPr>
            <w:r>
              <w:rPr>
                <w:sz w:val="20"/>
              </w:rPr>
              <w:t>Lease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4,588,000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4,729,000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Compression, gathering and transportation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ad valorem and other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2,286,000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7,157,000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9,728,000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13,596,000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1,319,133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(3,023,619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allocable to Net Profits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profits allocable to Net Profits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1,055,307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(2,418,895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Capex Reserve – Release for anticipated 2025-2026 capital expenditures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Trust general and administrative expenses and cash withheld for expenses net of 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(536,307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Distributable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1,419,000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direct operating and development expenses exceeded cash receipts, leading to a Net Profits Interest shortfall of approximately $1.4 million as of March 31, 2025, which was carried forward to be deducted from future net profits generated by the Underlying Properties. As a result, there were no net profits reported or distributed in the first three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displays reported oil and natural gas sales volumes and average prices from the Underlying Properties, representing the amounts included in the net profits calculation for distributions paid or payable during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8467" w:type="dxa"/>
        <w:jc w:val="left"/>
        <w:tblInd w:w="0" w:type="dxa"/>
        <w:tblLayout w:type="fixed"/>
        <w:tblCellMar>
          <w:top w:w="0" w:type="dxa"/>
          <w:left w:w="0" w:type="dxa"/>
          <w:bottom w:w="0" w:type="dxa"/>
          <w:right w:w="0" w:type="dxa"/>
        </w:tblCellMar>
      </w:tblPr>
      <w:tblGrid>
        <w:gridCol w:w="4400"/>
        <w:gridCol w:w="60"/>
        <w:gridCol w:w="162"/>
        <w:gridCol w:w="1098"/>
        <w:gridCol w:w="104"/>
        <w:gridCol w:w="78"/>
        <w:gridCol w:w="162"/>
        <w:gridCol w:w="1098"/>
        <w:gridCol w:w="80"/>
        <w:gridCol w:w="60"/>
        <w:gridCol w:w="905"/>
        <w:gridCol w:w="260"/>
      </w:tblGrid>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4"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12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Increase</w:t>
              <w:br/>
              <w:t>(Decrease)</w:t>
            </w:r>
          </w:p>
        </w:tc>
        <w:tc>
          <w:tcPr>
            <w:tcW w:w="260"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 Properties Production Volumes: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 (Bbls)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104,082</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114,380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Gas (Mcf)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1,750,936</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1,180,460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Combined (Boe)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395,905</w:t>
            </w:r>
          </w:p>
        </w:tc>
        <w:tc>
          <w:tcPr>
            <w:tcW w:w="1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311,123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Prices: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 - NYMEX (applicable NPI period) ($/Bbl)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61.03</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Differential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1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 prices realized ($/Bbl)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59.74</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gas - NYMEX (applicable NPI period) ($/Mcf)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Differential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1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gas prices realized ($/Mcf)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profits attributable to the Underlying Properties for the three months ended March 31, 2026 were $1.3 million compared to a net profits deficit of $3.0 million for the three months ended March 31, 2025. The $4.3 million increase in net profits attributable to the Underlying Properties from the 2025 period to the 2026 period was primarily due to the following items: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Oil sales decreased $2.3 million due to lower produced volumes and lower realized prices. The 9% reduction in produced volumes decreased revenues by $0.8 million. Realized oil sales prices decreased 20% in the 2026 period compared to the 2025 period, which decreased revenues by $1.5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Natural gas sales increased $2.8 million compared to the 2025 period, reflecting a $1.8 million increase due to higher realized prices. The 48% increase in produced volumes increased revenues by $1.0 million. The average natural gas price received increased 59% primarily due to the increase in the average realized natural gas price for the relevant production months.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operating expenses during the three months ended March 31, 2026 decreased $0.1 million compared to the three months ended March 31,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Compression, gathering and transportation costs increased $1.2 million, primarily due to higher sales volumes from three new Haynesville wells included in the three months ended March 31, 2026 compared to the three months ended March 31,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Production, ad valorem and other taxes remained consistent at $0.7 million during the three months ended March 31, 2026 compared to the three months ended March 31,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Development expenses decreased $4.9 million during the three months ended March 31, 2026 compared to the same period in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the Trust withheld $0.5 million and paid $0.1 million for general and administrative expenses. Expenses paid during the period primarily consisted of fees for the preparation of the Trust’s monthly press releases, insurance expense, Trustee fees, and New York Stock Exchange listing fees. For the three months ended March 31, 2025, the Trust withheld $0.0 million and paid $0.2 million for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Trust’s principal sources of liquidity are cash flow generated from the Net Profits Interest and borrowing capacity under the letter of credit described below. Other than Trust administrative expenses, including any reserves established by the Trustee for future liabilities, the Trust’s only use of cash is for distributions to Trust unitholders. Available funds are the excess cash, if any, received by the Trust from the Net Profits Interest and other sources (such as interest earned on any amounts reserved by the Trustee) in any given month, over the Trust’s expenses paid for that month. Available funds are reduced by any cash the Trustee determines to hold as a reserve against future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create a cash reserve to pay for future liabilities of the Trust. In February 2022, the Trustee began withholding $37,833 from the funds otherwise available for distribution each month to gradually build a cash reserve of approximately $2.3 million for the payment of future known, anticipated or contingent expenses or liabilities of the Trust. Commencing with the distribution to Trust unitholders payable in April 2023, the Trustee has been withholding, and in the future intends to withhold, $50,000 from the funds otherwise available for distribution each month to gradually build the reserve. The Trustee may increase or decrease the targeted cash reserve amount at any time, and may increase or decrease the rate at which it is withholding funds to build the cash reserve at any time, without advance notice to the Trust unitholders. Cash held in reserve will be invested as required by the Trust Agreement. Any cash reserved in excess of the amount necessary to pay or provide for the payment of future known, anticipated or contingent expenses or liabilities eventually will be distributed to Trust unitholders, together with interest earned on the funds. As of March 31, 2026, the Trustee has withheld $1,692,534 toward this cash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determines that the cash on hand and the cash to be received are, or will be, insufficient to cover the Trust’s liabilities, the Trustee may authorize the Trust to borrow money to pay administrative or incidental expenses of the Trust that exceed cash held by the Trust. The Trustee may authorize the Trust to borrow from any person, including the Trustee or the Delaware Trustee or an affiliate thereof, although none of the Trustee, the Delaware Trustee or any affiliate thereof intends to lend funds to the Trust. The Trustee may also cause the Trust to mortgage its assets to secure payment of the indebtedness. The terms of such indebtedness and security interest, if funds were to be loaned by the entity serving as Trustee or Delaware Trustee or an affiliate thereof, would be similar to the terms which such entity would grant to a similarly situated commercial customer with whom it did not have a fiduciary relationship. In addition, COERT has provided the Trust with a $1.2 million letter of credit to be used by the Trust if its cash on hand (including available cash reserves) is insufficient to pay ordinary course administrative expenses. Further, if the Trust requires more than the $1.2 million under the letter of credit to pay administrative expenses, COERT has agreed to loan funds to the Trust necessary to pay such expenses. Any loan made by COERT to the Trust would be evidenced by a written promissory note, be on an unsecured basis, and have terms that are no less favorable to COERT than those that would be obtained in an arm’s length transaction between COERT and an unaffiliated third party. If the Trust borrows funds or draws on the letter of credit, no further distributions will be made to Trust unitholders until such amounts borrowed or drawn are repaid. Except for the foregoing, the Trust has no source of liquidity or capital resources. The Trustee has no current plans to authorize the Trust to borrow any funds. As of March 31, 2026 and December 31, 2025, including the aggregate amounts withheld as of such dates toward the approximately $2.3 million cash reserve discussed above, the Trust had cash of $3,186,425 and $2,733,791, respectively, to be used towards future Trust expenses. Since its formation, the Trust has not borrowed any funds and no amounts have been drawn on the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if the Trust’s cash on hand (including available cash reserves, if any) is not sufficient to pay the Trust’s ordinary course administrative expenses that are due prior to the monthly payment to the Trust of proceeds from the Net Profits Interest, COERT may advance funds to the Trust to pay such expenses. At March 31, 2026 and December 31, 2025, there were no outstanding advances. Any advances to the Trust will be carried forward to be repaid out of future net profits generated by the Underlying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held by the Trustee as a reserve against future liabilities or for distribution at the next distribution date may be held in a noninterest-bearing account or may be invested 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165"/>
        <w:gridCol w:w="9975"/>
      </w:tblGrid>
      <w:tr>
        <w:trPr/>
        <w:tc>
          <w:tcPr>
            <w:tcW w:w="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interest-bearing obligations of the United States government;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32"/>
        <w:gridCol w:w="10021"/>
      </w:tblGrid>
      <w:tr>
        <w:trPr/>
        <w:tc>
          <w:tcPr>
            <w:tcW w:w="5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money market funds that invest only in United States government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02"/>
        <w:gridCol w:w="10062"/>
      </w:tblGrid>
      <w:tr>
        <w:trPr/>
        <w:tc>
          <w:tcPr>
            <w:tcW w:w="41"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6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repurchase agreements secured by interest-bearing obligations of the United States government;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352"/>
        <w:gridCol w:w="9712"/>
      </w:tblGrid>
      <w:tr>
        <w:trPr/>
        <w:tc>
          <w:tcPr>
            <w:tcW w:w="14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1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bank certificates of deposit.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 pays the Trustee an annual administrative fee of $200,000 and the Delaware Trustee an annual fee of $2,000. The Trust also incurs, either directly or as a reimbursement to the Trustee, legal, accounting, tax and engineering fees, printing costs and other expenses that are deducted by the Trust before distributions are made to Trust unitholders. The Trust also is responsible for paying other expenses incurred as a result of being a publicly traded entity, including costs associated with annual and quarterly reports to Trust unitholders, tax return and Form 1099 preparation and distribution, NYSE listing fees, independent auditor fees and registrar and transfer agent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 does not have any transactions, arrangements or other relationships with unconsolidated entities or persons that could materially affect the Trust’s liquidity or the availability of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 has no off-balance sheet arrangements. The Trust has not guaranteed the debt of any other party, nor does the Trust have any other arrangements or relationships with other entities that could potentially result in unconsolidated debt, losses or contingent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read “Item 7. Trustee’s Discussion and Analysis of Financial Condition and Results of Operations—Critical Accounting Policies and Estimates” of the Trust’s 2025 Annual Report on Form 10-K for additional information regarding the Trust’s critical accounting policies and estimates. There were no material changes to the Trust’s critical accounting policies or estimates during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in Item 10(f)(1) of Regulation S-K, the Trust is not required to provide information required by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4. </w:t>
      </w:r>
      <w:r>
        <w:rPr>
          <w:rFonts w:ascii="Times New Roman;Times;Serif" w:hAnsi="Times New Roman;Times;Serif"/>
          <w:b/>
          <w:i/>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conducted an evaluation of the Trust’s disclosure controls and procedures (as defined in Rules 13a-15 and 15d-15 under the Securities Exchange Act of 1934, as amended (the “Exchange Act”)). Based on this evaluation, the Trustee has concluded that the disclosure controls and procedures of the Trust were effective, as of the end of the period covered by this report, in ensuring that information required to be disclosed by the Trust in the reports that it files or submits under the Exchange Act is accumulated and communicated to the Trustee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nature of the Trust as a passive entity and in light of the contractual arrangements pursuant to which the Trust was created, including the provisions of (i) the Trust Agreement and (ii) the Conveyance, the Trustee’s disclosure controls and procedures related to the Trust necessarily rely on (A) information provided by the Sponsor, including information relating to results of operations, the costs and revenues attributable to the Trust’s interest under the Conveyance and other operating and historical data, plans for future operating and capital expenditures, reserve information, information relating to projected production, and other information relating to the status and results of operations of the Underlying Properties and the Net Profits Interest, and (B) conclusions and reports regarding reserves by the Trust’s independent reserve engineers.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March 31, 2026, there were no changes in the Trust’s internal control over financial reporting that have materially affected, or are reasonably likely to materially affect, the Trust’s internal control over financial reporting. The Trustee notes for purposes of clarification that it has no authority over, and makes no statement concerning, the internal control over financial reporting of the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II—OTHER INFORMATION</w:t>
      </w:r>
    </w:p>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905"/>
        <w:gridCol w:w="1340"/>
      </w:tblGrid>
      <w:tr>
        <w:trPr/>
        <w:tc>
          <w:tcPr>
            <w:tcW w:w="905" w:type="dxa"/>
            <w:tcBorders/>
            <w:vAlign w:val="center"/>
          </w:tcPr>
          <w:p>
            <w:pPr>
              <w:pStyle w:val="TableContents"/>
              <w:bidi w:val="0"/>
              <w:spacing w:before="0" w:after="283"/>
              <w:jc w:val="left"/>
              <w:rPr>
                <w:b/>
              </w:rPr>
            </w:pPr>
            <w:r>
              <w:rPr>
                <w:b/>
              </w:rPr>
              <w:t>Item 1A.</w:t>
            </w:r>
          </w:p>
        </w:tc>
        <w:tc>
          <w:tcPr>
            <w:tcW w:w="1340" w:type="dxa"/>
            <w:tcBorders/>
            <w:vAlign w:val="center"/>
          </w:tcPr>
          <w:p>
            <w:pPr>
              <w:pStyle w:val="TableContents"/>
              <w:bidi w:val="0"/>
              <w:spacing w:before="0" w:after="283"/>
              <w:jc w:val="both"/>
              <w:rPr>
                <w:b/>
                <w:i/>
              </w:rPr>
            </w:pPr>
            <w:r>
              <w:rPr>
                <w:b/>
                <w:i/>
              </w:rPr>
              <w:t>Risk Factors.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the risk factors contained in Item 1A of the Trust’s 2025 Annual Report on Form 10-K.</w:t>
      </w:r>
    </w:p>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25"/>
        <w:gridCol w:w="1910"/>
      </w:tblGrid>
      <w:tr>
        <w:trPr/>
        <w:tc>
          <w:tcPr>
            <w:tcW w:w="725" w:type="dxa"/>
            <w:tcBorders/>
            <w:vAlign w:val="center"/>
          </w:tcPr>
          <w:p>
            <w:pPr>
              <w:pStyle w:val="TableContents"/>
              <w:bidi w:val="0"/>
              <w:spacing w:before="0" w:after="283"/>
              <w:jc w:val="left"/>
              <w:rPr>
                <w:b/>
              </w:rPr>
            </w:pPr>
            <w:r>
              <w:rPr>
                <w:b/>
              </w:rPr>
              <w:t>Item 5.</w:t>
            </w:r>
          </w:p>
        </w:tc>
        <w:tc>
          <w:tcPr>
            <w:tcW w:w="1910" w:type="dxa"/>
            <w:tcBorders/>
            <w:vAlign w:val="center"/>
          </w:tcPr>
          <w:p>
            <w:pPr>
              <w:pStyle w:val="TableContents"/>
              <w:bidi w:val="0"/>
              <w:spacing w:before="0" w:after="283"/>
              <w:jc w:val="both"/>
              <w:rPr>
                <w:b/>
                <w:i/>
              </w:rPr>
            </w:pPr>
            <w:r>
              <w:rPr>
                <w:b/>
                <w:i/>
              </w:rPr>
              <w:t>Other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Rule 10b5-1 Trading Plans.</w:t>
      </w:r>
      <w:r>
        <w:rPr>
          <w:rFonts w:ascii="Times New Roman;Times;Serif" w:hAnsi="Times New Roman;Times;Serif"/>
          <w:b w:val="false"/>
          <w:i w:val="false"/>
          <w:caps w:val="false"/>
          <w:smallCaps w:val="false"/>
          <w:sz w:val="20"/>
        </w:rPr>
        <w:t>   During the three months ended March 31, 2026, no officer or employee of the Trustee who performs policy-making functions for the Trust adopted, modified, or terminated any Rule 10b5-1 trading arrangement or non-Rule 10b5-1 trading arrangement, as such terms are defined in Item 408(a) of Regulation S-K, with respect to the Trust Units.</w:t>
      </w:r>
    </w:p>
    <w:p>
      <w:pPr>
        <w:pStyle w:val="TextBody"/>
        <w:bidi w:val="0"/>
        <w:spacing w:before="0" w:after="0"/>
        <w:ind w:left="0" w:right="0" w:hanging="0"/>
        <w:jc w:val="left"/>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725"/>
        <w:gridCol w:w="905"/>
      </w:tblGrid>
      <w:tr>
        <w:trPr/>
        <w:tc>
          <w:tcPr>
            <w:tcW w:w="3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b/>
              </w:rPr>
            </w:pPr>
            <w:r>
              <w:rPr>
                <w:b/>
              </w:rPr>
              <w:t>Item 6.</w:t>
            </w:r>
          </w:p>
        </w:tc>
        <w:tc>
          <w:tcPr>
            <w:tcW w:w="905" w:type="dxa"/>
            <w:tcBorders/>
            <w:vAlign w:val="center"/>
          </w:tcPr>
          <w:p>
            <w:pPr>
              <w:pStyle w:val="TableContents"/>
              <w:bidi w:val="0"/>
              <w:spacing w:before="0" w:after="283"/>
              <w:jc w:val="left"/>
              <w:rPr>
                <w:b/>
                <w:i/>
              </w:rPr>
            </w:pPr>
            <w:r>
              <w:rPr>
                <w:b/>
                <w:i/>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listed in the following index to exhibits are filed or furnished as part of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0"/>
        <w:gridCol w:w="60"/>
        <w:gridCol w:w="9195"/>
      </w:tblGrid>
      <w:tr>
        <w:trPr/>
        <w:tc>
          <w:tcPr>
            <w:tcW w:w="950" w:type="dxa"/>
            <w:tcBorders>
              <w:bottom w:val="single" w:sz="8" w:space="0" w:color="000000"/>
            </w:tcBorders>
            <w:vAlign w:val="center"/>
          </w:tcPr>
          <w:p>
            <w:pPr>
              <w:pStyle w:val="TableContents"/>
              <w:bidi w:val="0"/>
              <w:spacing w:before="0" w:after="283"/>
              <w:jc w:val="left"/>
              <w:rPr/>
            </w:pPr>
            <w:r>
              <w:rPr>
                <w:b/>
              </w:rPr>
              <w:t>Exhibit</w:t>
              <w:br/>
              <w:t>Number</w:t>
            </w:r>
            <w:r>
              <w:rPr/>
              <w:t> </w:t>
            </w:r>
          </w:p>
        </w:tc>
        <w:tc>
          <w:tcPr>
            <w:tcW w:w="60" w:type="dxa"/>
            <w:tcBorders/>
            <w:tcMar>
              <w:bottom w:w="0" w:type="dxa"/>
            </w:tcMar>
            <w:vAlign w:val="center"/>
          </w:tcPr>
          <w:p>
            <w:pPr>
              <w:pStyle w:val="TableContents"/>
              <w:bidi w:val="0"/>
              <w:spacing w:before="0" w:after="283"/>
              <w:jc w:val="left"/>
              <w:rPr/>
            </w:pPr>
            <w:r>
              <w:rPr/>
              <w:t> </w:t>
            </w:r>
          </w:p>
        </w:tc>
        <w:tc>
          <w:tcPr>
            <w:tcW w:w="9195" w:type="dxa"/>
            <w:tcBorders>
              <w:bottom w:val="single" w:sz="8" w:space="0" w:color="000000"/>
            </w:tcBorders>
            <w:vAlign w:val="center"/>
          </w:tcPr>
          <w:p>
            <w:pPr>
              <w:pStyle w:val="TableContents"/>
              <w:bidi w:val="0"/>
              <w:spacing w:before="0" w:after="283"/>
              <w:jc w:val="center"/>
              <w:rPr/>
            </w:pPr>
            <w:r>
              <w:rPr>
                <w:b/>
              </w:rPr>
              <w:t>Description</w:t>
            </w:r>
            <w:r>
              <w:rPr/>
              <w:t xml:space="preserve"> </w:t>
            </w:r>
          </w:p>
        </w:tc>
      </w:tr>
      <w:tr>
        <w:trPr/>
        <w:tc>
          <w:tcPr>
            <w:tcW w:w="950" w:type="dxa"/>
            <w:tcBorders/>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sz w:val="20"/>
                </w:rPr>
                <w:t>2.1</w:t>
              </w:r>
            </w:hyperlink>
          </w:p>
        </w:tc>
        <w:tc>
          <w:tcPr>
            <w:tcW w:w="6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Agreement and Plan of Merger of Enduro Royalty Trust and Enduro Texas LLC, dated as of November 3, 2011, by and between the Bank of New York Mellon Trust Company, N.A., as Trustee of Enduro Royalty Trust, and Enduro Texas LLC. (Incorporated herein by reference to Exhibit 1.2 to our Current Report on Form 8-K filed on November 8, 2011 (File No. 1-35333))</w:t>
              </w:r>
            </w:hyperlink>
          </w:p>
        </w:tc>
      </w:tr>
      <w:tr>
        <w:trPr/>
        <w:tc>
          <w:tcPr>
            <w:tcW w:w="9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left"/>
              <w:rPr/>
            </w:pPr>
            <w:r>
              <w:rPr/>
              <w:t> </w:t>
            </w:r>
          </w:p>
        </w:tc>
      </w:tr>
      <w:tr>
        <w:trPr/>
        <w:tc>
          <w:tcPr>
            <w:tcW w:w="950" w:type="dxa"/>
            <w:tcBorders/>
            <w:tcMar>
              <w:bottom w:w="0" w:type="dxa"/>
            </w:tcMar>
            <w:vAlign w:val="center"/>
          </w:tcPr>
          <w:p>
            <w:pPr>
              <w:pStyle w:val="TableContents"/>
              <w:bidi w:val="0"/>
              <w:spacing w:before="0" w:after="283"/>
              <w:jc w:val="left"/>
              <w:rPr/>
            </w:pPr>
            <w:hyperlink r:id="rId4">
              <w:r>
                <w:rPr>
                  <w:rStyle w:val="InternetLink"/>
                  <w:rFonts w:ascii="Times New Roman;Times;Serif" w:hAnsi="Times New Roman;Times;Serif"/>
                  <w:sz w:val="20"/>
                </w:rPr>
                <w:t>3.1</w:t>
              </w:r>
            </w:hyperlink>
          </w:p>
        </w:tc>
        <w:tc>
          <w:tcPr>
            <w:tcW w:w="6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left"/>
              <w:rPr/>
            </w:pPr>
            <w:hyperlink r:id="rId5">
              <w:r>
                <w:rPr>
                  <w:rStyle w:val="InternetLink"/>
                  <w:rFonts w:ascii="Times New Roman;Times;Serif" w:hAnsi="Times New Roman;Times;Serif"/>
                  <w:sz w:val="20"/>
                </w:rPr>
                <w:t>Certificate of Trust of Enduro Royalty Trust. (Incorporated herein by reference to Exhibit 3.3 to the Registration Statement on Form S-1, filed on May 16, 2011 (Registration No. 333-174225))</w:t>
              </w:r>
            </w:hyperlink>
          </w:p>
        </w:tc>
      </w:tr>
      <w:tr>
        <w:trPr/>
        <w:tc>
          <w:tcPr>
            <w:tcW w:w="9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left"/>
              <w:rPr/>
            </w:pPr>
            <w:r>
              <w:rPr/>
              <w:t> </w:t>
            </w:r>
          </w:p>
        </w:tc>
      </w:tr>
      <w:tr>
        <w:trPr/>
        <w:tc>
          <w:tcPr>
            <w:tcW w:w="950" w:type="dxa"/>
            <w:tcBorders/>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"https://www.sec.gov/Archives/edgar/data/1520048/000110465918055340/a18-24116_1ex3d1.htm" \l "Exhibit3_1_012851"</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3.2</w:t>
            </w:r>
            <w:r>
              <w:rPr>
                <w:rStyle w:val="InternetLink"/>
                <w:sz w:val="20"/>
                <w:rFonts w:ascii="Times New Roman;Times;Serif" w:hAnsi="Times New Roman;Times;Serif"/>
              </w:rPr>
              <w:fldChar w:fldCharType="end"/>
            </w:r>
          </w:p>
        </w:tc>
        <w:tc>
          <w:tcPr>
            <w:tcW w:w="6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"https://www.sec.gov/Archives/edgar/data/1520048/000110465918055340/a18-24116_1ex3d1.htm" \l "Exhibit3_1_012851"</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Certificate of Amendment to Certificate of Trust. (Incorporated herein by reference to Exhibit 3.1 to the Current Report on Form 8-K filed on September 5, 2018 (File No. 1-35333))</w:t>
            </w:r>
            <w:r>
              <w:rPr>
                <w:rStyle w:val="InternetLink"/>
                <w:sz w:val="20"/>
                <w:rFonts w:ascii="Times New Roman;Times;Serif" w:hAnsi="Times New Roman;Times;Serif"/>
              </w:rPr>
              <w:fldChar w:fldCharType="end"/>
            </w:r>
          </w:p>
        </w:tc>
      </w:tr>
      <w:tr>
        <w:trPr/>
        <w:tc>
          <w:tcPr>
            <w:tcW w:w="9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left"/>
              <w:rPr/>
            </w:pPr>
            <w:r>
              <w:rPr/>
              <w:t> </w:t>
            </w:r>
          </w:p>
        </w:tc>
      </w:tr>
      <w:tr>
        <w:trPr/>
        <w:tc>
          <w:tcPr>
            <w:tcW w:w="950" w:type="dxa"/>
            <w:tcBorders/>
            <w:tcMar>
              <w:bottom w:w="0" w:type="dxa"/>
            </w:tcMar>
            <w:vAlign w:val="center"/>
          </w:tcPr>
          <w:p>
            <w:pPr>
              <w:pStyle w:val="TableContents"/>
              <w:bidi w:val="0"/>
              <w:spacing w:before="0" w:after="283"/>
              <w:jc w:val="left"/>
              <w:rPr/>
            </w:pPr>
            <w:hyperlink r:id="rId6">
              <w:r>
                <w:rPr>
                  <w:rStyle w:val="InternetLink"/>
                  <w:rFonts w:ascii="Times New Roman;Times;Serif" w:hAnsi="Times New Roman;Times;Serif"/>
                  <w:sz w:val="20"/>
                </w:rPr>
                <w:t>3.3</w:t>
              </w:r>
            </w:hyperlink>
          </w:p>
        </w:tc>
        <w:tc>
          <w:tcPr>
            <w:tcW w:w="6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left"/>
              <w:rPr/>
            </w:pPr>
            <w:hyperlink r:id="rId7">
              <w:r>
                <w:rPr>
                  <w:rStyle w:val="InternetLink"/>
                  <w:rFonts w:ascii="Times New Roman;Times;Serif" w:hAnsi="Times New Roman;Times;Serif"/>
                  <w:sz w:val="20"/>
                </w:rPr>
                <w:t>Amended and Restated Trust Agreement of Enduro Royalty Trust, dated November 3, 2011, among Enduro Resource Partners LLC, The Bank of New York Mellon Trust Company, N.A., as Trustee of Enduro Royalty Trust, and Wilmington Trust Company, as Delaware Trustee of Enduro Royalty Trust. (Incorporated herein by reference to Exhibit 3.1 to our Current Report on Form 8-K filed on November 8, 2011 (File No. 1-35333))</w:t>
              </w:r>
            </w:hyperlink>
          </w:p>
        </w:tc>
      </w:tr>
      <w:tr>
        <w:trPr/>
        <w:tc>
          <w:tcPr>
            <w:tcW w:w="9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left"/>
              <w:rPr/>
            </w:pPr>
            <w:r>
              <w:rPr/>
              <w:t> </w:t>
            </w:r>
          </w:p>
        </w:tc>
      </w:tr>
      <w:tr>
        <w:trPr/>
        <w:tc>
          <w:tcPr>
            <w:tcW w:w="950" w:type="dxa"/>
            <w:tcBorders/>
            <w:tcMar>
              <w:bottom w:w="0" w:type="dxa"/>
            </w:tcMar>
            <w:vAlign w:val="center"/>
          </w:tcPr>
          <w:p>
            <w:pPr>
              <w:pStyle w:val="TableContents"/>
              <w:bidi w:val="0"/>
              <w:spacing w:before="0" w:after="283"/>
              <w:jc w:val="left"/>
              <w:rPr/>
            </w:pPr>
            <w:hyperlink r:id="rId8">
              <w:r>
                <w:rPr>
                  <w:rStyle w:val="InternetLink"/>
                  <w:rFonts w:ascii="Times New Roman;Times;Serif" w:hAnsi="Times New Roman;Times;Serif"/>
                  <w:sz w:val="20"/>
                </w:rPr>
                <w:t>3.4</w:t>
              </w:r>
            </w:hyperlink>
          </w:p>
        </w:tc>
        <w:tc>
          <w:tcPr>
            <w:tcW w:w="6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left"/>
              <w:rPr/>
            </w:pPr>
            <w:hyperlink r:id="rId9">
              <w:r>
                <w:rPr>
                  <w:rStyle w:val="InternetLink"/>
                  <w:rFonts w:ascii="Times New Roman;Times;Serif" w:hAnsi="Times New Roman;Times;Serif"/>
                  <w:sz w:val="20"/>
                </w:rPr>
                <w:t>Second Amendment to Amended and Restated Trust Agreement of Enduro Royalty Trust, dated September 14, 2018, among COERT Holdings 1 LLC, Wilmington Trust Company, as Delaware trustee, and The Bank of New York Mellon Trust Company, N.A., as trustee. (Incorporated herein by reference to Exhibit 3.1 to the Current Report on Form 8-K filed on September 14, 2018 (File No. 1-35333))</w:t>
              </w:r>
            </w:hyperlink>
          </w:p>
        </w:tc>
      </w:tr>
      <w:tr>
        <w:trPr/>
        <w:tc>
          <w:tcPr>
            <w:tcW w:w="9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left"/>
              <w:rPr/>
            </w:pPr>
            <w:r>
              <w:rPr/>
              <w:t> </w:t>
            </w:r>
          </w:p>
        </w:tc>
      </w:tr>
      <w:tr>
        <w:trPr/>
        <w:tc>
          <w:tcPr>
            <w:tcW w:w="950" w:type="dxa"/>
            <w:tcBorders/>
            <w:tcMar>
              <w:bottom w:w="0" w:type="dxa"/>
            </w:tcMar>
            <w:vAlign w:val="center"/>
          </w:tcPr>
          <w:p>
            <w:pPr>
              <w:pStyle w:val="TableContents"/>
              <w:bidi w:val="0"/>
              <w:spacing w:before="0" w:after="283"/>
              <w:jc w:val="left"/>
              <w:rPr/>
            </w:pPr>
            <w:hyperlink w:anchor="tm2610310d1_ex31-1.htm">
              <w:r>
                <w:rPr>
                  <w:rStyle w:val="InternetLink"/>
                  <w:rFonts w:ascii="Times New Roman;Times;Serif" w:hAnsi="Times New Roman;Times;Serif"/>
                  <w:sz w:val="20"/>
                </w:rPr>
                <w:t>31.1*</w:t>
              </w:r>
            </w:hyperlink>
          </w:p>
        </w:tc>
        <w:tc>
          <w:tcPr>
            <w:tcW w:w="6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left"/>
              <w:rPr/>
            </w:pPr>
            <w:hyperlink w:anchor="tm2610310d1_ex31-1.htm">
              <w:r>
                <w:rPr>
                  <w:rStyle w:val="InternetLink"/>
                  <w:rFonts w:ascii="Times New Roman;Times;Serif" w:hAnsi="Times New Roman;Times;Serif"/>
                  <w:sz w:val="20"/>
                </w:rPr>
                <w:t>Certification pursuant to Section 302 of the Sarbanes-Oxley Act of 2002</w:t>
              </w:r>
            </w:hyperlink>
          </w:p>
        </w:tc>
      </w:tr>
      <w:tr>
        <w:trPr/>
        <w:tc>
          <w:tcPr>
            <w:tcW w:w="9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left"/>
              <w:rPr/>
            </w:pPr>
            <w:r>
              <w:rPr/>
              <w:t> </w:t>
            </w:r>
          </w:p>
        </w:tc>
      </w:tr>
      <w:tr>
        <w:trPr/>
        <w:tc>
          <w:tcPr>
            <w:tcW w:w="950" w:type="dxa"/>
            <w:tcBorders/>
            <w:tcMar>
              <w:bottom w:w="0" w:type="dxa"/>
            </w:tcMar>
            <w:vAlign w:val="center"/>
          </w:tcPr>
          <w:p>
            <w:pPr>
              <w:pStyle w:val="TableContents"/>
              <w:bidi w:val="0"/>
              <w:spacing w:before="0" w:after="283"/>
              <w:jc w:val="left"/>
              <w:rPr/>
            </w:pPr>
            <w:hyperlink w:anchor="tm2610310d1_ex32-1.htm">
              <w:r>
                <w:rPr>
                  <w:rStyle w:val="InternetLink"/>
                  <w:rFonts w:ascii="Times New Roman;Times;Serif" w:hAnsi="Times New Roman;Times;Serif"/>
                  <w:sz w:val="20"/>
                </w:rPr>
                <w:t>32.1**</w:t>
              </w:r>
            </w:hyperlink>
          </w:p>
        </w:tc>
        <w:tc>
          <w:tcPr>
            <w:tcW w:w="60" w:type="dxa"/>
            <w:tcBorders/>
            <w:tcMar>
              <w:bottom w:w="0" w:type="dxa"/>
            </w:tcMar>
            <w:vAlign w:val="center"/>
          </w:tcPr>
          <w:p>
            <w:pPr>
              <w:pStyle w:val="TableContents"/>
              <w:bidi w:val="0"/>
              <w:spacing w:before="0" w:after="283"/>
              <w:jc w:val="left"/>
              <w:rPr/>
            </w:pPr>
            <w:r>
              <w:rPr/>
              <w:t> </w:t>
            </w:r>
          </w:p>
        </w:tc>
        <w:tc>
          <w:tcPr>
            <w:tcW w:w="9195" w:type="dxa"/>
            <w:tcBorders/>
            <w:tcMar>
              <w:bottom w:w="0" w:type="dxa"/>
            </w:tcMar>
            <w:vAlign w:val="center"/>
          </w:tcPr>
          <w:p>
            <w:pPr>
              <w:pStyle w:val="TableContents"/>
              <w:bidi w:val="0"/>
              <w:spacing w:before="0" w:after="283"/>
              <w:jc w:val="left"/>
              <w:rPr/>
            </w:pPr>
            <w:hyperlink w:anchor="tm2610310d1_ex32-1.htm">
              <w:r>
                <w:rPr>
                  <w:rStyle w:val="InternetLink"/>
                  <w:rFonts w:ascii="Times New Roman;Times;Serif" w:hAnsi="Times New Roman;Times;Serif"/>
                  <w:sz w:val="20"/>
                </w:rPr>
                <w:t>Certification pursuant to Section 906 of the Sarbanes-Oxley Act of 2002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38"/>
        <w:gridCol w:w="1174"/>
        <w:gridCol w:w="8693"/>
      </w:tblGrid>
      <w:tr>
        <w:trPr/>
        <w:tc>
          <w:tcPr>
            <w:tcW w:w="33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pPr>
            <w:r>
              <w:rPr/>
              <w:t>*</w:t>
            </w:r>
          </w:p>
        </w:tc>
        <w:tc>
          <w:tcPr>
            <w:tcW w:w="8693" w:type="dxa"/>
            <w:tcBorders/>
            <w:vAlign w:val="center"/>
          </w:tcPr>
          <w:p>
            <w:pPr>
              <w:pStyle w:val="TableContents"/>
              <w:bidi w:val="0"/>
              <w:spacing w:before="0" w:after="283"/>
              <w:jc w:val="left"/>
              <w:rPr/>
            </w:pPr>
            <w:r>
              <w:rPr/>
              <w:t>Filed herewith.</w:t>
            </w:r>
          </w:p>
        </w:tc>
      </w:tr>
      <w:tr>
        <w:trPr/>
        <w:tc>
          <w:tcPr>
            <w:tcW w:w="338"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left"/>
              <w:rPr/>
            </w:pPr>
            <w:r>
              <w:rPr/>
              <w:t> </w:t>
            </w:r>
          </w:p>
        </w:tc>
        <w:tc>
          <w:tcPr>
            <w:tcW w:w="8693" w:type="dxa"/>
            <w:tcBorders/>
            <w:vAlign w:val="center"/>
          </w:tcPr>
          <w:p>
            <w:pPr>
              <w:pStyle w:val="TableContents"/>
              <w:bidi w:val="0"/>
              <w:spacing w:before="0" w:after="283"/>
              <w:jc w:val="left"/>
              <w:rPr/>
            </w:pPr>
            <w:r>
              <w:rPr/>
              <w:t> </w:t>
            </w:r>
          </w:p>
        </w:tc>
      </w:tr>
      <w:tr>
        <w:trPr/>
        <w:tc>
          <w:tcPr>
            <w:tcW w:w="33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pPr>
            <w:r>
              <w:rPr/>
              <w:t>**</w:t>
            </w:r>
          </w:p>
        </w:tc>
        <w:tc>
          <w:tcPr>
            <w:tcW w:w="8693" w:type="dxa"/>
            <w:tcBorders/>
            <w:vAlign w:val="center"/>
          </w:tcPr>
          <w:p>
            <w:pPr>
              <w:pStyle w:val="TableContents"/>
              <w:bidi w:val="0"/>
              <w:spacing w:before="0" w:after="283"/>
              <w:jc w:val="left"/>
              <w:rPr/>
            </w:pPr>
            <w:r>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320"/>
        <w:gridCol w:w="5315"/>
      </w:tblGrid>
      <w:tr>
        <w:trPr/>
        <w:tc>
          <w:tcPr>
            <w:tcW w:w="75" w:type="dxa"/>
            <w:tcBorders/>
            <w:vAlign w:val="center"/>
          </w:tcPr>
          <w:p>
            <w:pPr>
              <w:pStyle w:val="TableContents"/>
              <w:bidi w:val="0"/>
              <w:spacing w:before="0" w:after="283"/>
              <w:jc w:val="left"/>
              <w:rPr/>
            </w:pPr>
            <w:r>
              <w:rPr/>
              <w:t> </w:t>
            </w:r>
          </w:p>
        </w:tc>
        <w:tc>
          <w:tcPr>
            <w:tcW w:w="56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PERMIANVILLE ROYALTY TRUST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BANK OF NEW YORK MELLON TRUST COMPANY, N.A.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315" w:type="dxa"/>
            <w:tcBorders>
              <w:bottom w:val="single" w:sz="8" w:space="0" w:color="000000"/>
            </w:tcBorders>
            <w:tcMar>
              <w:bottom w:w="28" w:type="dxa"/>
            </w:tcMar>
            <w:vAlign w:val="center"/>
          </w:tcPr>
          <w:p>
            <w:pPr>
              <w:pStyle w:val="TableContents"/>
              <w:bidi w:val="0"/>
              <w:spacing w:before="0" w:after="283"/>
              <w:jc w:val="left"/>
              <w:rPr/>
            </w:pPr>
            <w:r>
              <w:rPr/>
              <w:t>/s/ SARAH NEWELL  </w:t>
            </w:r>
          </w:p>
        </w:tc>
      </w:tr>
      <w:tr>
        <w:trPr/>
        <w:tc>
          <w:tcPr>
            <w:tcW w:w="395" w:type="dxa"/>
            <w:gridSpan w:val="2"/>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Sarah Newell </w:t>
            </w:r>
          </w:p>
        </w:tc>
      </w:tr>
      <w:tr>
        <w:trPr/>
        <w:tc>
          <w:tcPr>
            <w:tcW w:w="395" w:type="dxa"/>
            <w:gridSpan w:val="2"/>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Vice President and Trust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Permianville Royalty Trust, has no principal executive officer, principal financial officer, board of directors or persons performing similar functions. Accordingly, no additional signatures are available, and none have been provided. In signing the report above, the Trustee does not imply that it has performed any such function or that such function exists pursuant to the terms of the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10310d1_ex31-1.htm"/>
      <w:bookmarkStart w:id="3" w:name="kstm2610310d1_ex311"/>
      <w:bookmarkEnd w:id="2"/>
      <w:bookmarkEnd w:id="3"/>
      <w:r>
        <w:rPr/>
        <w:t> </w:t>
      </w:r>
      <w:r>
        <w:br w:type="page"/>
      </w:r>
    </w:p>
    <w:p>
      <w:pPr>
        <w:pStyle w:val="TextBody"/>
        <w:bidi w:val="0"/>
        <w:jc w:val="right"/>
        <w:rPr>
          <w:b/>
        </w:rPr>
      </w:pPr>
      <w:r>
        <w:rPr>
          <w:b/>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Sarah Newell,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Permianville Royalty Trust, for which The Bank of New York Mellon Trust Company, N.A., acts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distributable income and changes in Trust corpus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establishing and maintaining disclosure controls and procedures (as defined in Exchange Act Rules 13a-15(e) and 15d-15(e)) and internal control over financial reporting (as defined in Exchange Act Rules 13a-15(f) and 15d-15(f)), or for causing such controls and procedures to be established and maintained, for the registrant and I have: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a)</w:t>
            </w:r>
          </w:p>
        </w:tc>
        <w:tc>
          <w:tcPr>
            <w:tcW w:w="10023" w:type="dxa"/>
            <w:tcBorders/>
            <w:vAlign w:val="center"/>
          </w:tcPr>
          <w:p>
            <w:pPr>
              <w:pStyle w:val="TableContents"/>
              <w:bidi w:val="0"/>
              <w:spacing w:before="0" w:after="283"/>
              <w:jc w:val="left"/>
              <w:rPr/>
            </w:pPr>
            <w:r>
              <w:rPr/>
              <w:t>Designed such disclosure controls and procedures, or caused such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b)</w:t>
            </w:r>
          </w:p>
        </w:tc>
        <w:tc>
          <w:tcPr>
            <w:tcW w:w="10009"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the basis of accounting described in Note 2 in Item 1 of Part I;</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6" w:type="dxa"/>
            <w:tcBorders/>
            <w:vAlign w:val="center"/>
          </w:tcPr>
          <w:p>
            <w:pPr>
              <w:pStyle w:val="TableContents"/>
              <w:bidi w:val="0"/>
              <w:spacing w:before="0" w:after="283"/>
              <w:jc w:val="left"/>
              <w:rPr/>
            </w:pPr>
            <w:r>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d)</w:t>
            </w:r>
          </w:p>
        </w:tc>
        <w:tc>
          <w:tcPr>
            <w:tcW w:w="10008"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 have disclosed, based on my most recent evaluation of internal control over financial reporting, to the registrant’s auditors: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5"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b)</w:t>
            </w:r>
          </w:p>
        </w:tc>
        <w:tc>
          <w:tcPr>
            <w:tcW w:w="9977" w:type="dxa"/>
            <w:tcBorders/>
            <w:vAlign w:val="center"/>
          </w:tcPr>
          <w:p>
            <w:pPr>
              <w:pStyle w:val="TableContents"/>
              <w:bidi w:val="0"/>
              <w:spacing w:before="0" w:after="283"/>
              <w:jc w:val="left"/>
              <w:rPr/>
            </w:pPr>
            <w:r>
              <w:rPr/>
              <w:t>Any fraud, whether or not material, that involves any persons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the foregoing certifications in paragraphs 4 and 5, I have relied to the extent I consider reasonable on information provided to me by COERT Holdings 1 LLC.</w:t>
      </w:r>
    </w:p>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1655"/>
        <w:gridCol w:w="60"/>
        <w:gridCol w:w="5105"/>
      </w:tblGrid>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15, 2026</w:t>
            </w:r>
          </w:p>
        </w:tc>
        <w:tc>
          <w:tcPr>
            <w:tcW w:w="60" w:type="dxa"/>
            <w:tcBorders/>
            <w:vAlign w:val="center"/>
          </w:tcPr>
          <w:p>
            <w:pPr>
              <w:pStyle w:val="TableContents"/>
              <w:bidi w:val="0"/>
              <w:spacing w:before="0" w:after="283"/>
              <w:jc w:val="left"/>
              <w:rPr/>
            </w:pPr>
            <w:r>
              <w:rPr/>
              <w:t> </w:t>
            </w:r>
          </w:p>
        </w:tc>
        <w:tc>
          <w:tcPr>
            <w:tcW w:w="5105" w:type="dxa"/>
            <w:tcBorders>
              <w:bottom w:val="single" w:sz="8" w:space="0" w:color="000000"/>
            </w:tcBorders>
            <w:tcMar>
              <w:bottom w:w="28" w:type="dxa"/>
            </w:tcMar>
            <w:vAlign w:val="center"/>
          </w:tcPr>
          <w:p>
            <w:pPr>
              <w:pStyle w:val="TableContents"/>
              <w:bidi w:val="0"/>
              <w:spacing w:before="0" w:after="283"/>
              <w:jc w:val="left"/>
              <w:rPr/>
            </w:pPr>
            <w:r>
              <w:rPr/>
              <w:t>/s/ SARAH NEWELL</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Sarah Newell</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Vice President and Trust Officer</w:t>
            </w:r>
          </w:p>
        </w:tc>
      </w:tr>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The Bank of New York Mellon Trust Company, N.A., as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4" w:name="tm2610310d1_ex32-1.htm"/>
      <w:bookmarkStart w:id="5" w:name="kstm2610310d1_ex321"/>
      <w:bookmarkEnd w:id="4"/>
      <w:bookmarkEnd w:id="5"/>
      <w:r>
        <w:rPr/>
        <w:t> </w:t>
      </w:r>
      <w:r>
        <w:br w:type="page"/>
      </w:r>
    </w:p>
    <w:p>
      <w:pPr>
        <w:pStyle w:val="TextBody"/>
        <w:bidi w:val="0"/>
        <w:jc w:val="right"/>
        <w:rPr>
          <w:b/>
        </w:rPr>
      </w:pPr>
      <w:r>
        <w:rPr>
          <w:b/>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0"/>
        <w:gridCol w:w="9828"/>
      </w:tblGrid>
      <w:tr>
        <w:trPr/>
        <w:tc>
          <w:tcPr>
            <w:tcW w:w="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Re:</w:t>
            </w:r>
          </w:p>
        </w:tc>
        <w:tc>
          <w:tcPr>
            <w:tcW w:w="9828" w:type="dxa"/>
            <w:tcBorders/>
            <w:vAlign w:val="center"/>
          </w:tcPr>
          <w:p>
            <w:pPr>
              <w:pStyle w:val="TableContents"/>
              <w:bidi w:val="0"/>
              <w:spacing w:before="0" w:after="283"/>
              <w:jc w:val="left"/>
              <w:rPr/>
            </w:pPr>
            <w:r>
              <w:rPr/>
              <w:t>Certification pursuant to 18 U.S.C. Section 1350, as adopted pursuant to Section 906 of the Sarbanes-Oxley Act of 2002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Permianville Royalty Trust (the “Trust”) on Form 10-Q for the quarter ended March 31, 2026 as filed with the Securities and Exchange Commission on the date hereof (the “Report”), the undersigned, not in its individual capacity but solely as the Trustee of the Trust, certifies pursuant to 18 U.S.C. 1350, as adopted pursuant to Section 906 of the Sarbanes-Oxley Act of 2002, that to its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as amended;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certification is furnished solely pursuant to Section 906 of the Sarbanes-Oxley Act of 2002 (18 U.S.C. 1350) and is not being filed as part of the Report or as a separate disclosure document.</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437"/>
        <w:gridCol w:w="3452"/>
        <w:gridCol w:w="75"/>
      </w:tblGrid>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Bank of New York Mellon Trust Company,</w:t>
            </w:r>
          </w:p>
        </w:tc>
        <w:tc>
          <w:tcPr>
            <w:tcW w:w="75" w:type="dxa"/>
            <w:tcBorders/>
            <w:vAlign w:val="center"/>
          </w:tcPr>
          <w:p>
            <w:pPr>
              <w:pStyle w:val="TableContents"/>
              <w:bidi w:val="0"/>
              <w:spacing w:before="0" w:after="283"/>
              <w:jc w:val="left"/>
              <w:rPr/>
            </w:pPr>
            <w:r>
              <w:rPr/>
              <w:t> </w:t>
            </w:r>
          </w:p>
        </w:tc>
      </w:tr>
      <w:tr>
        <w:trPr/>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 Trustee for Permianville Royalty Trust</w:t>
            </w:r>
          </w:p>
        </w:tc>
        <w:tc>
          <w:tcPr>
            <w:tcW w:w="75" w:type="dxa"/>
            <w:tcBorders/>
            <w:vAlign w:val="center"/>
          </w:tcPr>
          <w:p>
            <w:pPr>
              <w:pStyle w:val="TableContents"/>
              <w:bidi w:val="0"/>
              <w:spacing w:before="0" w:after="283"/>
              <w:jc w:val="left"/>
              <w:rPr/>
            </w:pPr>
            <w:r>
              <w:rPr/>
              <w:t> </w:t>
            </w:r>
          </w:p>
        </w:tc>
      </w:tr>
      <w:tr>
        <w:trPr/>
        <w:tc>
          <w:tcPr>
            <w:tcW w:w="437" w:type="dxa"/>
            <w:tcBorders/>
            <w:vAlign w:val="center"/>
          </w:tcPr>
          <w:p>
            <w:pPr>
              <w:pStyle w:val="TableContents"/>
              <w:bidi w:val="0"/>
              <w:spacing w:before="0" w:after="283"/>
              <w:jc w:val="left"/>
              <w:rPr/>
            </w:pPr>
            <w:r>
              <w:rPr/>
              <w:t> </w:t>
            </w:r>
          </w:p>
        </w:tc>
        <w:tc>
          <w:tcPr>
            <w:tcW w:w="345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52" w:type="dxa"/>
            <w:tcBorders>
              <w:bottom w:val="single" w:sz="8" w:space="0" w:color="000000"/>
            </w:tcBorders>
            <w:tcMar>
              <w:bottom w:w="28" w:type="dxa"/>
            </w:tcMar>
            <w:vAlign w:val="center"/>
          </w:tcPr>
          <w:p>
            <w:pPr>
              <w:pStyle w:val="TableContents"/>
              <w:bidi w:val="0"/>
              <w:spacing w:before="0" w:after="283"/>
              <w:jc w:val="left"/>
              <w:rPr/>
            </w:pPr>
            <w:r>
              <w:rPr/>
              <w:t>/s/ SARAH NEWELL</w:t>
            </w:r>
          </w:p>
        </w:tc>
        <w:tc>
          <w:tcPr>
            <w:tcW w:w="75" w:type="dxa"/>
            <w:tcBorders/>
            <w:vAlign w:val="center"/>
          </w:tcPr>
          <w:p>
            <w:pPr>
              <w:pStyle w:val="TableContents"/>
              <w:bidi w:val="0"/>
              <w:spacing w:before="0" w:after="283"/>
              <w:jc w:val="left"/>
              <w:rPr/>
            </w:pPr>
            <w:r>
              <w:rPr/>
              <w:t> </w:t>
            </w:r>
          </w:p>
        </w:tc>
      </w:tr>
      <w:tr>
        <w:trPr/>
        <w:tc>
          <w:tcPr>
            <w:tcW w:w="437" w:type="dxa"/>
            <w:tcBorders/>
            <w:vAlign w:val="center"/>
          </w:tcPr>
          <w:p>
            <w:pPr>
              <w:pStyle w:val="TableContents"/>
              <w:bidi w:val="0"/>
              <w:spacing w:before="0" w:after="283"/>
              <w:jc w:val="left"/>
              <w:rPr/>
            </w:pPr>
            <w:r>
              <w:rPr/>
              <w:t> </w:t>
            </w:r>
          </w:p>
        </w:tc>
        <w:tc>
          <w:tcPr>
            <w:tcW w:w="345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Sarah Newell</w:t>
            </w:r>
          </w:p>
        </w:tc>
        <w:tc>
          <w:tcPr>
            <w:tcW w:w="75" w:type="dxa"/>
            <w:tcBorders/>
            <w:vAlign w:val="center"/>
          </w:tcPr>
          <w:p>
            <w:pPr>
              <w:pStyle w:val="TableContents"/>
              <w:bidi w:val="0"/>
              <w:spacing w:before="0" w:after="283"/>
              <w:jc w:val="left"/>
              <w:rPr/>
            </w:pPr>
            <w:r>
              <w:rPr/>
              <w:t> </w:t>
            </w:r>
          </w:p>
        </w:tc>
      </w:tr>
      <w:tr>
        <w:trPr/>
        <w:tc>
          <w:tcPr>
            <w:tcW w:w="437" w:type="dxa"/>
            <w:tcBorders/>
            <w:vAlign w:val="center"/>
          </w:tcPr>
          <w:p>
            <w:pPr>
              <w:pStyle w:val="TableContents"/>
              <w:bidi w:val="0"/>
              <w:spacing w:before="0" w:after="283"/>
              <w:jc w:val="left"/>
              <w:rPr/>
            </w:pPr>
            <w:r>
              <w:rPr/>
              <w:t> </w:t>
            </w:r>
          </w:p>
        </w:tc>
        <w:tc>
          <w:tcPr>
            <w:tcW w:w="3452"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Vice President and Trust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0048/000095012311096544/d85587exv1w2.htm" TargetMode="External"/><Relationship Id="rId3" Type="http://schemas.openxmlformats.org/officeDocument/2006/relationships/hyperlink" Target="https://www.sec.gov/Archives/edgar/data/1520048/000095012311096544/d85587exv1w2.htm" TargetMode="External"/><Relationship Id="rId4" Type="http://schemas.openxmlformats.org/officeDocument/2006/relationships/hyperlink" Target="https://www.sec.gov/Archives/edgar/data/1520020/000095012311050343/d82176exv3w3.htm" TargetMode="External"/><Relationship Id="rId5" Type="http://schemas.openxmlformats.org/officeDocument/2006/relationships/hyperlink" Target="https://www.sec.gov/Archives/edgar/data/1520020/000095012311050343/d82176exv3w3.htm" TargetMode="External"/><Relationship Id="rId6" Type="http://schemas.openxmlformats.org/officeDocument/2006/relationships/hyperlink" Target="https://www.sec.gov/Archives/edgar/data/1520048/000095012311096544/d85587exv3w1.htm" TargetMode="External"/><Relationship Id="rId7" Type="http://schemas.openxmlformats.org/officeDocument/2006/relationships/hyperlink" Target="https://www.sec.gov/Archives/edgar/data/1520048/000095012311096544/d85587exv3w1.htm" TargetMode="External"/><Relationship Id="rId8" Type="http://schemas.openxmlformats.org/officeDocument/2006/relationships/hyperlink" Target="https://www.sec.gov/Archives/edgar/data/1520048/000110465918056914/a18-30044_1ex3d1.htm" TargetMode="External"/><Relationship Id="rId9" Type="http://schemas.openxmlformats.org/officeDocument/2006/relationships/hyperlink" Target="https://www.sec.gov/Archives/edgar/data/1520048/000110465918056914/a18-30044_1ex3d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9970</Words>
  <Characters>53071</Characters>
  <CharactersWithSpaces>63332</CharactersWithSpaces>
  <Paragraphs>1633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