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Permianville Royalty Trust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001-35333</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45-6259461</w:t>
            </w:r>
          </w:p>
        </w:tc>
      </w:tr>
      <w:tr>
        <w:trPr>
          <w:trHeight w:val="216"/>
        </w:trPr>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incorporation)</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26"/>
        </w:trPr>
        <w:tc>
          <w:tcPr>
            <w:tcW w:w="676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The Bank of New York Mellon Trust Company, N.A., Trustee</w:t>
            </w:r>
          </w:p>
        </w:tc>
        <w:tc>
          <w:tcPr>
            <w:tcW w:w="264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448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8"/>
              </w:rPr>
              <w:t>601 Travis Street</w:t>
            </w:r>
          </w:p>
        </w:tc>
        <w:tc>
          <w:tcPr>
            <w:tcW w:w="264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48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9"/>
              </w:rPr>
              <w:t>16th Floor</w:t>
            </w:r>
          </w:p>
        </w:tc>
        <w:tc>
          <w:tcPr>
            <w:tcW w:w="2640" w:type="dxa"/>
            <w:vAlign w:val="bottom"/>
          </w:tcPr>
          <w:p>
            <w:pPr>
              <w:spacing w:after="0"/>
              <w:rPr>
                <w:sz w:val="18"/>
                <w:szCs w:val="18"/>
                <w:color w:val="auto"/>
              </w:rPr>
            </w:pPr>
          </w:p>
        </w:tc>
      </w:tr>
      <w:tr>
        <w:trPr>
          <w:trHeight w:val="220"/>
        </w:trPr>
        <w:tc>
          <w:tcPr>
            <w:tcW w:w="2280" w:type="dxa"/>
            <w:vAlign w:val="bottom"/>
          </w:tcPr>
          <w:p>
            <w:pPr>
              <w:spacing w:after="0"/>
              <w:rPr>
                <w:sz w:val="19"/>
                <w:szCs w:val="19"/>
                <w:color w:val="auto"/>
              </w:rPr>
            </w:pPr>
          </w:p>
        </w:tc>
        <w:tc>
          <w:tcPr>
            <w:tcW w:w="448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676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(512) 236-6555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91"/>
        </w:trPr>
        <w:tc>
          <w:tcPr>
            <w:tcW w:w="1600" w:type="dxa"/>
            <w:vAlign w:val="bottom"/>
          </w:tcPr>
          <w:p>
            <w:pPr>
              <w:spacing w:after="0"/>
              <w:rPr>
                <w:sz w:val="24"/>
                <w:szCs w:val="24"/>
                <w:color w:val="auto"/>
              </w:rPr>
            </w:pPr>
          </w:p>
        </w:tc>
        <w:tc>
          <w:tcPr>
            <w:tcW w:w="300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Units of Beneficial Interest</w:t>
            </w:r>
          </w:p>
        </w:tc>
        <w:tc>
          <w:tcPr>
            <w:tcW w:w="460" w:type="dxa"/>
            <w:vAlign w:val="bottom"/>
          </w:tcPr>
          <w:p>
            <w:pPr>
              <w:spacing w:after="0"/>
              <w:rPr>
                <w:sz w:val="20"/>
                <w:szCs w:val="20"/>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PVL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June 18, 2026, Permianville Royalty Trust (the “Trust”) issued a press release announcing the Trust’s distribution to be paid in July 2026. A copy of the press release is furnished as Exhibit 99.1 hereto and is incorporated herein by reference.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20" w:type="dxa"/>
            <w:vAlign w:val="bottom"/>
          </w:tcPr>
          <w:p>
            <w:pPr>
              <w:spacing w:after="0"/>
              <w:rPr>
                <w:sz w:val="17"/>
                <w:szCs w:val="17"/>
                <w:color w:val="auto"/>
              </w:rPr>
            </w:pPr>
          </w:p>
        </w:tc>
        <w:tc>
          <w:tcPr>
            <w:tcW w:w="9320" w:type="dxa"/>
            <w:vAlign w:val="bottom"/>
            <w:gridSpan w:val="4"/>
          </w:tcPr>
          <w:p>
            <w:pPr>
              <w:ind w:left="4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2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24"/>
                <w:szCs w:val="24"/>
                <w:color w:val="auto"/>
              </w:rPr>
            </w:pPr>
          </w:p>
        </w:tc>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Permianville Royalty Trust Press Release dated June 18, 2026.</w:t>
            </w:r>
          </w:p>
        </w:tc>
      </w:tr>
      <w:tr>
        <w:trPr>
          <w:trHeight w:val="696"/>
        </w:trPr>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The Bank of New York Mellon Trust Company, N.A., as Trustee</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770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Sarah Newell</w:t>
            </w:r>
          </w:p>
        </w:tc>
      </w:tr>
      <w:tr>
        <w:trPr>
          <w:trHeight w:val="191"/>
        </w:trPr>
        <w:tc>
          <w:tcPr>
            <w:tcW w:w="3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Sarah Newell</w:t>
            </w:r>
          </w:p>
        </w:tc>
      </w:tr>
      <w:tr>
        <w:trPr>
          <w:trHeight w:val="234"/>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75"/>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71750"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Permianville Royalty Trust Announces Monthly Cash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Texas—(BUSINESS WIRE)—June 18,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Permianville Royalty Trust (NYSE: PVL, the “Trust”) today announced a cash distribution to the holders of its units of beneficial interest of $0.017000 per unit, payable on July 15, 2026, to unitholders of record on June 30, 2026. The net profits interest calculation represents reported oil production for the month of March 2026 and reported natural gas production during February 2026. The calculation includes accrued costs incurred in April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reported underlying oil and natural gas sales volumes and average received wellhead prices attributable to the current and prior month recorded net profits interest calculations.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Underlying Sales Volumes</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Average Price</w:t>
            </w:r>
          </w:p>
        </w:tc>
      </w:tr>
      <w:tr>
        <w:trPr>
          <w:trHeight w:val="223"/>
        </w:trPr>
        <w:tc>
          <w:tcPr>
            <w:tcW w:w="2040" w:type="dxa"/>
            <w:vAlign w:val="bottom"/>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Oil</w:t>
            </w:r>
          </w:p>
        </w:tc>
        <w:tc>
          <w:tcPr>
            <w:tcW w:w="12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900" w:type="dxa"/>
            <w:vAlign w:val="bottom"/>
            <w:tcBorders>
              <w:top w:val="single" w:sz="8" w:color="auto"/>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88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Oil</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16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Bbls</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Bbls/D</w:t>
            </w:r>
          </w:p>
        </w:tc>
        <w:tc>
          <w:tcPr>
            <w:tcW w:w="340" w:type="dxa"/>
            <w:vAlign w:val="bottom"/>
          </w:tcPr>
          <w:p>
            <w:pPr>
              <w:spacing w:after="0"/>
              <w:rPr>
                <w:sz w:val="19"/>
                <w:szCs w:val="19"/>
                <w:color w:val="auto"/>
              </w:rPr>
            </w:pPr>
          </w:p>
        </w:tc>
        <w:tc>
          <w:tcPr>
            <w:tcW w:w="1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Mcf</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Mcf/D</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 Mcf)</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Month</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3"/>
              </w:rPr>
              <w:t>1,000</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548,911</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18,297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Prior Month</w:t>
            </w:r>
          </w:p>
        </w:tc>
        <w:tc>
          <w:tcPr>
            <w:tcW w:w="1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32,098</w:t>
            </w:r>
          </w:p>
        </w:tc>
        <w:tc>
          <w:tcPr>
            <w:tcW w:w="15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1,146</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615,097</w:t>
            </w:r>
          </w:p>
        </w:tc>
        <w:tc>
          <w:tcPr>
            <w:tcW w:w="340" w:type="dxa"/>
            <w:vAlign w:val="bottom"/>
          </w:tcPr>
          <w:p>
            <w:pPr>
              <w:spacing w:after="0"/>
              <w:rPr>
                <w:sz w:val="20"/>
                <w:szCs w:val="20"/>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19,842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Recorded oil cash receipts from the oil and gas properties underlying the Trust (the “Underlying Properties”) totaled $2.6 million for the current month on realized wellhead prices of $82.93/Bbl, up $0.6 million from the prior month’s oil cash receipts.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Recorded natural gas cash receipts from the Underlying Properties totaled $2.6 million for the current month on realized wellhead prices of $4.74/Mcf, down $0.5 million from the prior month.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accrued operating expenses decreased $0.2 million from the prior month to $2.1 million, and capital expenditures remained consistent with the prior month at $1.5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COERT Holdings 1 LLC (the “Sponsor”) has established a cash reserve for approved, future development expenses, primarily associated with the planned drilling of three incremental Haynesville wells by an operator on the Underlying Properties. Given the increase in expected spending, the Sponsor has notified the Trustee that it is withholding an additional $0.3 million from the current month’s net profits to be added to this cash reserve, increasing the reserve to a total of $1.8 million. The Sponsor indicates that the drilling associated with the three Haynesville wells was recently completed, and the Sponsor expects the remaining capital expenditures and conversion to first sales to occur in the coming months. As previously disclosed, this reserve is intended to fund an expected increase in billed development expenses; however, if those expenses are ultimately delayed or are less than expected, or if the outlook changes, amounts reserved but unspent will be released as an incremental cash distribution in a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About Permianville Royalty Trust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Cautionary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expectations regarding future development on the Underlying Properties and expectations regarding the newly drilled wells in the Haynesville region, including the timing of remaining capital expenditures and conversion to first sales.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2025, filed with the SEC on March 23, 2026. The Trust’s quarterly and other filed reports are or will be available over the Internet at the SEC’s website at http://www.sec.gov.</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Permianville Royalty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192" w:lineRule="auto"/>
        <w:rPr>
          <w:sz w:val="20"/>
          <w:szCs w:val="20"/>
          <w:color w:val="auto"/>
        </w:rPr>
      </w:pPr>
      <w:r>
        <w:rPr>
          <w:rFonts w:ascii="Times New Roman" w:cs="Times New Roman" w:eastAsia="Times New Roman" w:hAnsi="Times New Roman"/>
          <w:sz w:val="18"/>
          <w:szCs w:val="18"/>
          <w:color w:val="auto"/>
        </w:rPr>
        <w:t>601 Travis Street,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Newell 1 (512) 236-6555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2026-06-18T15:29:20Z</dcterms:created>
  <dcterms:modified xsi:type="dcterms:W3CDTF">2026-06-18T15:29:20Z</dcterms:modified>
</cp:coreProperties>
</file>